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589AE" w14:textId="77777777" w:rsidR="00C15152" w:rsidRDefault="00C15152" w:rsidP="002C5821">
      <w:pPr>
        <w:pStyle w:val="QuanserTitle"/>
        <w:rPr>
          <w:b w:val="0"/>
          <w:bCs/>
          <w:color w:val="E21B23"/>
          <w:sz w:val="36"/>
          <w:szCs w:val="36"/>
        </w:rPr>
      </w:pPr>
    </w:p>
    <w:p w14:paraId="67ECCD4A" w14:textId="7311BABB"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2D5FF667" w:rsidR="001C6BC9" w:rsidRDefault="000A174D" w:rsidP="001C6BC9">
      <w:pPr>
        <w:pStyle w:val="QuanserTitle"/>
      </w:pPr>
      <w:r>
        <w:t>Occupancy Grid Mapping</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6086CAD0" w:rsidR="00DA3E86" w:rsidRDefault="00DA3E86" w:rsidP="00DE401A">
      <w:pPr>
        <w:pStyle w:val="QuanserHeading1"/>
      </w:pPr>
    </w:p>
    <w:p w14:paraId="199E734D" w14:textId="77777777" w:rsidR="00334CB9" w:rsidRDefault="00334CB9" w:rsidP="00DE401A">
      <w:pPr>
        <w:pStyle w:val="QuanserHeading1"/>
        <w:rPr>
          <w:color w:val="595959" w:themeColor="text1" w:themeTint="A6"/>
        </w:rPr>
      </w:pPr>
    </w:p>
    <w:p w14:paraId="074AF3AE" w14:textId="2D8F0C2F" w:rsidR="00A94EF9" w:rsidRPr="00A94EF9" w:rsidRDefault="00A94EF9" w:rsidP="00DE401A">
      <w:pPr>
        <w:pStyle w:val="QuanserHeading1"/>
      </w:pPr>
      <w:r w:rsidRPr="00334CB9">
        <w:t>W</w:t>
      </w:r>
      <w:r w:rsidR="00EF6D88" w:rsidRPr="00334CB9">
        <w:t>h</w:t>
      </w:r>
      <w:r w:rsidR="00371725">
        <w:t xml:space="preserve">y </w:t>
      </w:r>
      <w:r w:rsidR="00044F6A">
        <w:rPr>
          <w:color w:val="595959" w:themeColor="text1" w:themeTint="A6"/>
        </w:rPr>
        <w:t>Construct a Map</w:t>
      </w:r>
      <w:r w:rsidRPr="00DE401A">
        <w:rPr>
          <w:color w:val="595959" w:themeColor="text1" w:themeTint="A6"/>
        </w:rPr>
        <w:t>?</w:t>
      </w:r>
    </w:p>
    <w:p w14:paraId="43967398" w14:textId="3BA738B6" w:rsidR="00A94EF9" w:rsidRDefault="007D5E47" w:rsidP="00DE401A">
      <w:pPr>
        <w:pStyle w:val="QuanserFigure"/>
      </w:pPr>
      <w:r>
        <w:rPr>
          <w:noProof/>
        </w:rPr>
        <w:pict w14:anchorId="1952E73C">
          <v:rect id="_x0000_i1025" alt="" style="width:468pt;height:.05pt;mso-width-percent:0;mso-height-percent:0;mso-width-percent:0;mso-height-percent:0" o:hralign="center" o:hrstd="t" o:hrnoshade="t" o:hr="t" fillcolor="#a0a0a0" stroked="f"/>
        </w:pict>
      </w:r>
    </w:p>
    <w:p w14:paraId="7F3056BE" w14:textId="7C7CBEB7" w:rsidR="006E162A" w:rsidRDefault="006E162A" w:rsidP="006E162A">
      <w:pPr>
        <w:pStyle w:val="QuanserNormal"/>
        <w:tabs>
          <w:tab w:val="left" w:pos="2868"/>
        </w:tabs>
      </w:pPr>
      <w:r>
        <w:t>Modern autonomous vehicles make decisions on where to travel in their environment based on perception interpretation techniques. These techniques can be applied to a global understanding of the vehicle’s position or a local planner in charge of deciding what areas are safe to drive on. In this document occupancy grids are used as one technique for environment interpretation.</w:t>
      </w:r>
    </w:p>
    <w:p w14:paraId="27493060" w14:textId="77777777" w:rsidR="006E162A" w:rsidRDefault="006E162A" w:rsidP="006E162A">
      <w:pPr>
        <w:pStyle w:val="QuanserHeading1"/>
      </w:pPr>
      <w:r>
        <w:lastRenderedPageBreak/>
        <w:t>Introduction</w:t>
      </w:r>
    </w:p>
    <w:p w14:paraId="3DD1AD8A" w14:textId="37DF50BD" w:rsidR="006E162A" w:rsidRDefault="006E162A" w:rsidP="006E162A">
      <w:pPr>
        <w:pStyle w:val="BodyText"/>
      </w:pPr>
      <w:r>
        <w:t>For a robot to autonomously navigate through its environment safely, it must have some insight into what areas are freely traversable, and what areas are not traversable (due to the presence of obstacles, unsafe terrain, etc...). Given the continuous nature of the world, building an exact representation of the environment surrounding a robot is a challenging task. Instead, we can simplify things by discretizing the world into a grid of equally-spaced cells, as shown</w:t>
      </w:r>
      <w:r w:rsidRPr="007915BD">
        <w:rPr>
          <w:sz w:val="22"/>
          <w:szCs w:val="22"/>
        </w:rPr>
        <w:t xml:space="preserve"> in</w:t>
      </w:r>
      <w:r w:rsidR="007C3CD0">
        <w:rPr>
          <w:sz w:val="22"/>
          <w:szCs w:val="22"/>
        </w:rPr>
        <w:t xml:space="preserve"> </w:t>
      </w:r>
      <w:r w:rsidR="007C3CD0">
        <w:rPr>
          <w:sz w:val="22"/>
          <w:szCs w:val="22"/>
        </w:rPr>
        <w:fldChar w:fldCharType="begin"/>
      </w:r>
      <w:r w:rsidR="007C3CD0">
        <w:rPr>
          <w:sz w:val="22"/>
          <w:szCs w:val="22"/>
        </w:rPr>
        <w:instrText xml:space="preserve"> REF _Ref138683532 \h </w:instrText>
      </w:r>
      <w:r w:rsidR="007C3CD0">
        <w:rPr>
          <w:sz w:val="22"/>
          <w:szCs w:val="22"/>
        </w:rPr>
      </w:r>
      <w:r w:rsidR="007C3CD0">
        <w:rPr>
          <w:sz w:val="22"/>
          <w:szCs w:val="22"/>
        </w:rPr>
        <w:fldChar w:fldCharType="separate"/>
      </w:r>
      <w:r w:rsidR="007D5E47" w:rsidRPr="0088402C">
        <w:rPr>
          <w:color w:val="auto"/>
          <w:sz w:val="20"/>
          <w:szCs w:val="20"/>
        </w:rPr>
        <w:t xml:space="preserve">Figure </w:t>
      </w:r>
      <w:r w:rsidR="007D5E47">
        <w:rPr>
          <w:i/>
          <w:iCs/>
          <w:noProof/>
          <w:color w:val="auto"/>
          <w:sz w:val="20"/>
          <w:szCs w:val="20"/>
        </w:rPr>
        <w:t>1</w:t>
      </w:r>
      <w:r w:rsidR="007C3CD0">
        <w:rPr>
          <w:sz w:val="22"/>
          <w:szCs w:val="22"/>
        </w:rPr>
        <w:fldChar w:fldCharType="end"/>
      </w:r>
      <w:r w:rsidR="007C3CD0">
        <w:rPr>
          <w:sz w:val="22"/>
          <w:szCs w:val="22"/>
        </w:rPr>
        <w:t>.</w:t>
      </w:r>
      <w:r w:rsidRPr="007915BD">
        <w:rPr>
          <w:sz w:val="22"/>
          <w:szCs w:val="22"/>
        </w:rPr>
        <w:t xml:space="preserve"> </w:t>
      </w:r>
      <w:r>
        <w:t xml:space="preserve">In this type of model (referred to as an ‘occupancy grid’), we care only about whether each cell is free (traversable) or occupied (not traversable). Since each cell can only be in one of two states (occupied or free), each cell is modelled as an independent binary variable, having a value of </w:t>
      </w:r>
      <m:oMath>
        <m:r>
          <w:rPr>
            <w:rFonts w:ascii="Cambria Math" w:hAnsi="Cambria Math"/>
          </w:rPr>
          <m:t>0</m:t>
        </m:r>
      </m:oMath>
      <w:r>
        <w:t xml:space="preserve"> if free </w:t>
      </w:r>
      <w:r w:rsidR="00B16B37">
        <w:t>or</w:t>
      </w:r>
      <w:r>
        <w:t xml:space="preserve"> </w:t>
      </w:r>
      <m:oMath>
        <m:r>
          <w:rPr>
            <w:rFonts w:ascii="Cambria Math" w:hAnsi="Cambria Math"/>
          </w:rPr>
          <m:t>1</m:t>
        </m:r>
      </m:oMath>
      <w:r>
        <w:t xml:space="preserve"> if occupied.</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1444" w14:paraId="1E69E0C4" w14:textId="77777777" w:rsidTr="005E3D56">
        <w:trPr>
          <w:jc w:val="center"/>
        </w:trPr>
        <w:tc>
          <w:tcPr>
            <w:tcW w:w="4675" w:type="dxa"/>
          </w:tcPr>
          <w:p w14:paraId="3CF7385E" w14:textId="359DF9D0" w:rsidR="00FE1444" w:rsidRDefault="00FE1444" w:rsidP="00FE1444">
            <w:pPr>
              <w:pStyle w:val="BodyText"/>
              <w:jc w:val="center"/>
            </w:pPr>
            <w:r>
              <w:rPr>
                <w:noProof/>
              </w:rPr>
              <w:drawing>
                <wp:inline distT="0" distB="0" distL="0" distR="0" wp14:anchorId="08857D1A" wp14:editId="59E85576">
                  <wp:extent cx="2651760" cy="2002536"/>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2651760" cy="2002536"/>
                          </a:xfrm>
                          <a:prstGeom prst="rect">
                            <a:avLst/>
                          </a:prstGeom>
                        </pic:spPr>
                      </pic:pic>
                    </a:graphicData>
                  </a:graphic>
                </wp:inline>
              </w:drawing>
            </w:r>
          </w:p>
        </w:tc>
        <w:tc>
          <w:tcPr>
            <w:tcW w:w="4675" w:type="dxa"/>
          </w:tcPr>
          <w:p w14:paraId="733A4B5B" w14:textId="440ED465" w:rsidR="00FE1444" w:rsidRDefault="00FE1444" w:rsidP="00FE1444">
            <w:pPr>
              <w:pStyle w:val="BodyText"/>
              <w:jc w:val="center"/>
            </w:pPr>
            <w:r>
              <w:rPr>
                <w:noProof/>
              </w:rPr>
              <w:drawing>
                <wp:inline distT="0" distB="0" distL="0" distR="0" wp14:anchorId="07F6FF56" wp14:editId="412377DE">
                  <wp:extent cx="2651760" cy="1993392"/>
                  <wp:effectExtent l="0" t="0" r="0" b="6985"/>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2651760" cy="1993392"/>
                          </a:xfrm>
                          <a:prstGeom prst="rect">
                            <a:avLst/>
                          </a:prstGeom>
                        </pic:spPr>
                      </pic:pic>
                    </a:graphicData>
                  </a:graphic>
                </wp:inline>
              </w:drawing>
            </w:r>
          </w:p>
        </w:tc>
      </w:tr>
      <w:tr w:rsidR="00FE1444" w14:paraId="748C24BE" w14:textId="77777777" w:rsidTr="005E3D56">
        <w:trPr>
          <w:jc w:val="center"/>
        </w:trPr>
        <w:tc>
          <w:tcPr>
            <w:tcW w:w="9350" w:type="dxa"/>
            <w:gridSpan w:val="2"/>
          </w:tcPr>
          <w:p w14:paraId="64824489" w14:textId="76C009DC" w:rsidR="00FE1444" w:rsidRDefault="00FE1444" w:rsidP="0088402C">
            <w:pPr>
              <w:pStyle w:val="BodyText"/>
              <w:keepNext/>
              <w:jc w:val="center"/>
            </w:pPr>
            <w:r>
              <w:rPr>
                <w:noProof/>
              </w:rPr>
              <w:drawing>
                <wp:inline distT="0" distB="0" distL="0" distR="0" wp14:anchorId="40473B2D" wp14:editId="08BA5DFD">
                  <wp:extent cx="2651760" cy="1956816"/>
                  <wp:effectExtent l="0" t="0" r="0" b="571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2651760" cy="1956816"/>
                          </a:xfrm>
                          <a:prstGeom prst="rect">
                            <a:avLst/>
                          </a:prstGeom>
                        </pic:spPr>
                      </pic:pic>
                    </a:graphicData>
                  </a:graphic>
                </wp:inline>
              </w:drawing>
            </w:r>
          </w:p>
        </w:tc>
      </w:tr>
    </w:tbl>
    <w:p w14:paraId="7FD84BB1" w14:textId="078AE893" w:rsidR="006E162A" w:rsidRPr="00B0367E" w:rsidRDefault="0088402C" w:rsidP="002640C9">
      <w:pPr>
        <w:pStyle w:val="Caption"/>
        <w:jc w:val="center"/>
        <w:rPr>
          <w:rFonts w:ascii="Raleway" w:hAnsi="Raleway"/>
          <w:i w:val="0"/>
          <w:iCs w:val="0"/>
          <w:color w:val="auto"/>
          <w:sz w:val="20"/>
          <w:szCs w:val="20"/>
        </w:rPr>
      </w:pPr>
      <w:bookmarkStart w:id="0" w:name="_Ref138683532"/>
      <w:r w:rsidRPr="0088402C">
        <w:rPr>
          <w:rFonts w:ascii="Raleway" w:hAnsi="Raleway"/>
          <w:i w:val="0"/>
          <w:iCs w:val="0"/>
          <w:color w:val="auto"/>
          <w:sz w:val="20"/>
          <w:szCs w:val="20"/>
        </w:rPr>
        <w:t xml:space="preserve">Figure </w:t>
      </w:r>
      <w:r w:rsidRPr="0088402C">
        <w:rPr>
          <w:rFonts w:ascii="Raleway" w:hAnsi="Raleway"/>
          <w:i w:val="0"/>
          <w:iCs w:val="0"/>
          <w:color w:val="auto"/>
          <w:sz w:val="20"/>
          <w:szCs w:val="20"/>
        </w:rPr>
        <w:fldChar w:fldCharType="begin"/>
      </w:r>
      <w:r w:rsidRPr="0088402C">
        <w:rPr>
          <w:rFonts w:ascii="Raleway" w:hAnsi="Raleway"/>
          <w:i w:val="0"/>
          <w:iCs w:val="0"/>
          <w:color w:val="auto"/>
          <w:sz w:val="20"/>
          <w:szCs w:val="20"/>
        </w:rPr>
        <w:instrText xml:space="preserve"> SEQ Figure \* ARABIC </w:instrText>
      </w:r>
      <w:r w:rsidRPr="0088402C">
        <w:rPr>
          <w:rFonts w:ascii="Raleway" w:hAnsi="Raleway"/>
          <w:i w:val="0"/>
          <w:iCs w:val="0"/>
          <w:color w:val="auto"/>
          <w:sz w:val="20"/>
          <w:szCs w:val="20"/>
        </w:rPr>
        <w:fldChar w:fldCharType="separate"/>
      </w:r>
      <w:r w:rsidR="007D5E47">
        <w:rPr>
          <w:rFonts w:ascii="Raleway" w:hAnsi="Raleway"/>
          <w:i w:val="0"/>
          <w:iCs w:val="0"/>
          <w:noProof/>
          <w:color w:val="auto"/>
          <w:sz w:val="20"/>
          <w:szCs w:val="20"/>
        </w:rPr>
        <w:t>1</w:t>
      </w:r>
      <w:r w:rsidRPr="0088402C">
        <w:rPr>
          <w:rFonts w:ascii="Raleway" w:hAnsi="Raleway"/>
          <w:i w:val="0"/>
          <w:iCs w:val="0"/>
          <w:color w:val="auto"/>
          <w:sz w:val="20"/>
          <w:szCs w:val="20"/>
        </w:rPr>
        <w:fldChar w:fldCharType="end"/>
      </w:r>
      <w:bookmarkEnd w:id="0"/>
      <w:r w:rsidRPr="0088402C">
        <w:rPr>
          <w:rFonts w:ascii="Raleway" w:hAnsi="Raleway"/>
          <w:i w:val="0"/>
          <w:iCs w:val="0"/>
          <w:color w:val="auto"/>
          <w:sz w:val="20"/>
          <w:szCs w:val="20"/>
        </w:rPr>
        <w:t xml:space="preserve">: Grid-based environment representation: white and red cells represent free and occupied areas </w:t>
      </w:r>
      <w:r w:rsidR="00C15152" w:rsidRPr="0088402C">
        <w:rPr>
          <w:rFonts w:ascii="Raleway" w:hAnsi="Raleway"/>
          <w:i w:val="0"/>
          <w:iCs w:val="0"/>
          <w:color w:val="auto"/>
          <w:sz w:val="20"/>
          <w:szCs w:val="20"/>
        </w:rPr>
        <w:t>respectively.</w:t>
      </w:r>
    </w:p>
    <w:p w14:paraId="5C3E2FD9" w14:textId="76BF2902" w:rsidR="006E162A" w:rsidRDefault="006E162A" w:rsidP="006E162A">
      <w:pPr>
        <w:pStyle w:val="BodyText"/>
        <w:rPr>
          <w:color w:val="E21B23"/>
          <w:sz w:val="28"/>
          <w:lang w:eastAsia="en-CA"/>
        </w:rPr>
      </w:pPr>
      <w:r>
        <w:t>The simplicity of the occupancy grid representation is especially useful for tasks such as path planning and constructing the map of an unknown environment using sensor data. The main drawback of grid-based representations is that information is lost during the discretization process. The accuracy of a map can be improved by decreasing the cell-size, but as the size of the grid grows, so too does the computation</w:t>
      </w:r>
      <w:r w:rsidR="00120BB7">
        <w:t>al</w:t>
      </w:r>
      <w:r>
        <w:t xml:space="preserve"> burden</w:t>
      </w:r>
      <w:r w:rsidR="00A54741">
        <w:t>. Thus, there is a tradeoff between accuracy and performance.</w:t>
      </w:r>
      <w:r>
        <w:br w:type="page"/>
      </w:r>
    </w:p>
    <w:p w14:paraId="58BE8D78" w14:textId="77777777" w:rsidR="006E162A" w:rsidRDefault="006E162A" w:rsidP="006E162A">
      <w:pPr>
        <w:pStyle w:val="QuanserHeading1"/>
      </w:pPr>
      <w:r>
        <w:lastRenderedPageBreak/>
        <w:t xml:space="preserve">Map Definition and Interpretation </w:t>
      </w:r>
    </w:p>
    <w:p w14:paraId="2146152E" w14:textId="106A234F" w:rsidR="006E162A" w:rsidRDefault="006E162A" w:rsidP="006E162A">
      <w:pPr>
        <w:pStyle w:val="BodyText"/>
      </w:pPr>
      <w:r>
        <w:t xml:space="preserve">Mathematically, an occupancy grid can be seen as an </w:t>
      </w:r>
      <m:oMath>
        <m:r>
          <w:rPr>
            <w:rFonts w:ascii="Cambria Math" w:hAnsi="Cambria Math"/>
          </w:rPr>
          <m:t>m</m:t>
        </m:r>
        <m:r>
          <m:rPr>
            <m:sty m:val="p"/>
          </m:rPr>
          <w:rPr>
            <w:rFonts w:ascii="Cambria Math" w:hAnsi="Cambria Math"/>
          </w:rPr>
          <m:t>×</m:t>
        </m:r>
        <m:r>
          <w:rPr>
            <w:rFonts w:ascii="Cambria Math" w:hAnsi="Cambria Math"/>
          </w:rPr>
          <m:t>n</m:t>
        </m:r>
      </m:oMath>
      <w:r>
        <w:t xml:space="preserve"> matrix, </w:t>
      </w:r>
      <m:oMath>
        <m:r>
          <m:rPr>
            <m:sty m:val="b"/>
          </m:rPr>
          <w:rPr>
            <w:rFonts w:ascii="Cambria Math" w:hAnsi="Cambria Math"/>
          </w:rPr>
          <m:t>M</m:t>
        </m:r>
      </m:oMath>
      <w:r>
        <w:t xml:space="preserve">, where </w:t>
      </w:r>
      <m:oMath>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oMath>
      <w:r>
        <w:t xml:space="preserve"> corresponds to the cell in the </w:t>
      </w:r>
      <m:oMath>
        <m:r>
          <w:rPr>
            <w:rFonts w:ascii="Cambria Math" w:hAnsi="Cambria Math"/>
          </w:rPr>
          <m:t>i</m:t>
        </m:r>
      </m:oMath>
      <w:r>
        <w:t xml:space="preserve">th row and </w:t>
      </w:r>
      <m:oMath>
        <m:r>
          <w:rPr>
            <w:rFonts w:ascii="Cambria Math" w:hAnsi="Cambria Math"/>
          </w:rPr>
          <m:t>j</m:t>
        </m:r>
      </m:oMath>
      <w:r>
        <w:t xml:space="preserve">th column of </w:t>
      </w:r>
      <m:oMath>
        <m:r>
          <m:rPr>
            <m:sty m:val="b"/>
          </m:rPr>
          <w:rPr>
            <w:rFonts w:ascii="Cambria Math" w:hAnsi="Cambria Math"/>
          </w:rPr>
          <m:t>M</m:t>
        </m:r>
      </m:oMath>
      <w:r>
        <w:t xml:space="preserve">. The minimum size of </w:t>
      </w:r>
      <w:r w:rsidR="00E40060">
        <w:t>an</w:t>
      </w:r>
      <w:r>
        <w:t xml:space="preserve"> occupancy grid required to cover a given environment can be determined by three parameters: </w:t>
      </w:r>
    </w:p>
    <w:p w14:paraId="18A73E5C" w14:textId="77777777" w:rsidR="006E162A" w:rsidRDefault="006E162A" w:rsidP="006E162A">
      <w:pPr>
        <w:pStyle w:val="BodyText"/>
        <w:numPr>
          <w:ilvl w:val="0"/>
          <w:numId w:val="2"/>
        </w:numPr>
      </w:pPr>
      <w:r>
        <w:t xml:space="preserve">Minimum required length in the </w:t>
      </w:r>
      <m:oMath>
        <m:r>
          <w:rPr>
            <w:rFonts w:ascii="Cambria Math" w:hAnsi="Cambria Math"/>
          </w:rPr>
          <m:t>x</m:t>
        </m:r>
      </m:oMath>
      <w:r>
        <w:t xml:space="preserve"> direction, </w:t>
      </w:r>
    </w:p>
    <w:p w14:paraId="63100F2F" w14:textId="77777777" w:rsidR="006E162A" w:rsidRDefault="006E162A" w:rsidP="006E162A">
      <w:pPr>
        <w:pStyle w:val="BodyText"/>
        <w:numPr>
          <w:ilvl w:val="0"/>
          <w:numId w:val="2"/>
        </w:numPr>
      </w:pPr>
      <w:r>
        <w:t xml:space="preserve">Minimum required length in the </w:t>
      </w:r>
      <m:oMath>
        <m:r>
          <w:rPr>
            <w:rFonts w:ascii="Cambria Math" w:hAnsi="Cambria Math"/>
          </w:rPr>
          <m:t>y</m:t>
        </m:r>
      </m:oMath>
      <w:r>
        <w:t xml:space="preserve"> direction, </w:t>
      </w:r>
    </w:p>
    <w:p w14:paraId="7A236E04" w14:textId="77777777" w:rsidR="006E162A" w:rsidRDefault="006E162A" w:rsidP="006E162A">
      <w:pPr>
        <w:pStyle w:val="BodyText"/>
        <w:numPr>
          <w:ilvl w:val="0"/>
          <w:numId w:val="2"/>
        </w:numPr>
      </w:pPr>
      <w:r>
        <w:t xml:space="preserve">Width of each cell. </w:t>
      </w:r>
    </w:p>
    <w:p w14:paraId="3C407787" w14:textId="77777777" w:rsidR="006E162A" w:rsidRDefault="006E162A" w:rsidP="006E162A">
      <w:pPr>
        <w:pStyle w:val="BodyText"/>
      </w:pPr>
      <w:r>
        <w:t xml:space="preserve">These three parameters are denoted as </w:t>
      </w:r>
      <m:oMath>
        <m:sSub>
          <m:sSubPr>
            <m:ctrlPr>
              <w:rPr>
                <w:rFonts w:ascii="Cambria Math" w:hAnsi="Cambria Math"/>
              </w:rPr>
            </m:ctrlPr>
          </m:sSubPr>
          <m:e>
            <m:r>
              <w:rPr>
                <w:rFonts w:ascii="Cambria Math" w:hAnsi="Cambria Math"/>
              </w:rPr>
              <m:t>L</m:t>
            </m:r>
          </m:e>
          <m:sub>
            <m:r>
              <w:rPr>
                <w:rFonts w:ascii="Cambria Math" w:hAnsi="Cambria Math"/>
              </w:rPr>
              <m:t>x</m:t>
            </m:r>
          </m:sub>
        </m:sSub>
      </m:oMath>
      <w:r>
        <w:t xml:space="preserve">, </w:t>
      </w:r>
      <m:oMath>
        <m:sSub>
          <m:sSubPr>
            <m:ctrlPr>
              <w:rPr>
                <w:rFonts w:ascii="Cambria Math" w:hAnsi="Cambria Math"/>
              </w:rPr>
            </m:ctrlPr>
          </m:sSubPr>
          <m:e>
            <m:r>
              <w:rPr>
                <w:rFonts w:ascii="Cambria Math" w:hAnsi="Cambria Math"/>
              </w:rPr>
              <m:t>L</m:t>
            </m:r>
          </m:e>
          <m:sub>
            <m:r>
              <w:rPr>
                <w:rFonts w:ascii="Cambria Math" w:hAnsi="Cambria Math"/>
              </w:rPr>
              <m:t>y</m:t>
            </m:r>
          </m:sub>
        </m:sSub>
      </m:oMath>
      <w:r>
        <w:t xml:space="preserve">, and </w:t>
      </w:r>
      <m:oMath>
        <m:r>
          <w:rPr>
            <w:rFonts w:ascii="Cambria Math" w:hAnsi="Cambria Math"/>
          </w:rPr>
          <m:t>w</m:t>
        </m:r>
      </m:oMath>
      <w:r>
        <w:t xml:space="preserve"> respectively and can be used to calculate the minimum required </w:t>
      </w:r>
      <m:oMath>
        <m:r>
          <w:rPr>
            <w:rFonts w:ascii="Cambria Math" w:hAnsi="Cambria Math"/>
          </w:rPr>
          <m:t>m</m:t>
        </m:r>
      </m:oMath>
      <w:r>
        <w:t xml:space="preserve"> and </w:t>
      </w:r>
      <m:oMath>
        <m:r>
          <w:rPr>
            <w:rFonts w:ascii="Cambria Math" w:hAnsi="Cambria Math"/>
          </w:rPr>
          <m:t>n</m:t>
        </m:r>
      </m:oMath>
      <w:r>
        <w:t xml:space="preserve"> values as follows:</w:t>
      </w:r>
    </w:p>
    <w:p w14:paraId="10365B6D" w14:textId="77777777" w:rsidR="006E162A" w:rsidRDefault="007D5E47" w:rsidP="006E162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m</m:t>
                </m:r>
              </m:e>
              <m:e>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r>
                          <w:rPr>
                            <w:rFonts w:ascii="Cambria Math" w:hAnsi="Cambria Math"/>
                          </w:rPr>
                          <m:t>w</m:t>
                        </m:r>
                      </m:den>
                    </m:f>
                  </m:e>
                </m:d>
              </m:e>
            </m:mr>
            <m:mr>
              <m:e>
                <m:r>
                  <w:rPr>
                    <w:rFonts w:ascii="Cambria Math" w:hAnsi="Cambria Math"/>
                  </w:rPr>
                  <m:t>n</m:t>
                </m:r>
              </m:e>
              <m:e>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x</m:t>
                            </m:r>
                          </m:sub>
                        </m:sSub>
                      </m:num>
                      <m:den>
                        <m:r>
                          <w:rPr>
                            <w:rFonts w:ascii="Cambria Math" w:hAnsi="Cambria Math"/>
                          </w:rPr>
                          <m:t>w</m:t>
                        </m:r>
                      </m:den>
                    </m:f>
                  </m:e>
                </m:d>
              </m:e>
            </m:mr>
          </m:m>
        </m:oMath>
      </m:oMathPara>
    </w:p>
    <w:p w14:paraId="105E0EDC" w14:textId="34BB445A" w:rsidR="006E162A" w:rsidRDefault="006E162A" w:rsidP="006E162A">
      <w:pPr>
        <w:pStyle w:val="BodyText"/>
      </w:pPr>
      <w:r>
        <w:t xml:space="preserve">To discretize the occupancy grid, the ratios represented by </w:t>
      </w:r>
      <m:oMath>
        <m:r>
          <w:rPr>
            <w:rFonts w:ascii="Cambria Math" w:hAnsi="Cambria Math"/>
          </w:rPr>
          <m:t>m</m:t>
        </m:r>
      </m:oMath>
      <w:r>
        <w:t xml:space="preserve"> or </w:t>
      </w:r>
      <m:oMath>
        <m:r>
          <w:rPr>
            <w:rFonts w:ascii="Cambria Math" w:hAnsi="Cambria Math"/>
          </w:rPr>
          <m:t>n</m:t>
        </m:r>
      </m:oMath>
      <w:r>
        <w:rPr>
          <w:rFonts w:eastAsiaTheme="minorEastAsia"/>
        </w:rPr>
        <w:t xml:space="preserve"> need to be rounded up to the nearest integer value. This will </w:t>
      </w:r>
      <w:r>
        <w:t xml:space="preserve">ensure the actual grid size is at least as large as the minimum required size specified by </w:t>
      </w:r>
      <m:oMath>
        <m:sSub>
          <m:sSubPr>
            <m:ctrlPr>
              <w:rPr>
                <w:rFonts w:ascii="Cambria Math" w:hAnsi="Cambria Math"/>
              </w:rPr>
            </m:ctrlPr>
          </m:sSubPr>
          <m:e>
            <m:r>
              <w:rPr>
                <w:rFonts w:ascii="Cambria Math" w:hAnsi="Cambria Math"/>
              </w:rPr>
              <m:t>L</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y</m:t>
            </m:r>
          </m:sub>
        </m:sSub>
      </m:oMath>
      <w:r>
        <w:t>.</w:t>
      </w:r>
    </w:p>
    <w:p w14:paraId="036CD27C" w14:textId="31DFDC40" w:rsidR="006E162A" w:rsidRDefault="006E162A" w:rsidP="006E162A">
      <w:pPr>
        <w:pStyle w:val="BodyText"/>
      </w:pPr>
      <w:r>
        <w:t xml:space="preserve">For map </w:t>
      </w:r>
      <m:oMath>
        <m:r>
          <m:rPr>
            <m:sty m:val="b"/>
          </m:rPr>
          <w:rPr>
            <w:rFonts w:ascii="Cambria Math" w:hAnsi="Cambria Math"/>
          </w:rPr>
          <m:t>M</m:t>
        </m:r>
      </m:oMath>
      <w:r>
        <w:t xml:space="preserve"> to be useful in describing a robot’s surroundings, </w:t>
      </w:r>
      <w:r w:rsidR="00D82E59">
        <w:t xml:space="preserve">there must be a </w:t>
      </w:r>
      <w:r>
        <w:t xml:space="preserve">1-to-1 correspondence between a point’s location in the real world, and its location in the grid. To this end, </w:t>
      </w:r>
      <w:r w:rsidR="00E11235">
        <w:t xml:space="preserve">we can </w:t>
      </w:r>
      <w:r>
        <w:t xml:space="preserve">define two frames: a grid frame </w:t>
      </w:r>
      <m:oMath>
        <m:r>
          <w:rPr>
            <w:rFonts w:ascii="Cambria Math" w:hAnsi="Cambria Math"/>
          </w:rPr>
          <m:t>G</m:t>
        </m:r>
        <m:r>
          <m:rPr>
            <m:sty m:val="p"/>
          </m:rPr>
          <w:rPr>
            <w:rFonts w:ascii="Cambria Math" w:hAnsi="Cambria Math"/>
          </w:rPr>
          <m:t>=</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and a world frame </w:t>
      </w:r>
      <m:oMath>
        <m:r>
          <w:rPr>
            <w:rFonts w:ascii="Cambria Math" w:hAnsi="Cambria Math"/>
          </w:rPr>
          <m:t>W</m:t>
        </m:r>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each with coordinate axes oriented as shown in </w:t>
      </w:r>
      <w:r>
        <w:fldChar w:fldCharType="begin"/>
      </w:r>
      <w:r>
        <w:instrText xml:space="preserve"> REF _Ref120868169 \h </w:instrText>
      </w:r>
      <w:r>
        <w:fldChar w:fldCharType="separate"/>
      </w:r>
      <w:r w:rsidR="007D5E47">
        <w:t xml:space="preserve">Figure </w:t>
      </w:r>
      <w:r w:rsidR="007D5E47">
        <w:rPr>
          <w:noProof/>
        </w:rPr>
        <w:t>2</w:t>
      </w:r>
      <w:r>
        <w:fldChar w:fldCharType="end"/>
      </w:r>
      <w:r>
        <w:t xml:space="preserve">. Superscript notation identifies the frame in which a particular item is expressed. For example, </w:t>
      </w:r>
      <m:oMath>
        <m:sSup>
          <m:sSupPr>
            <m:ctrlPr>
              <w:rPr>
                <w:rFonts w:ascii="Cambria Math" w:hAnsi="Cambria Math"/>
              </w:rPr>
            </m:ctrlPr>
          </m:sSupPr>
          <m:e>
            <m:r>
              <m:rPr>
                <m:sty m:val="b"/>
              </m:rPr>
              <w:rPr>
                <w:rFonts w:ascii="Cambria Math" w:hAnsi="Cambria Math"/>
              </w:rPr>
              <m:t>p</m:t>
            </m:r>
          </m:e>
          <m:sup>
            <m:r>
              <w:rPr>
                <w:rFonts w:ascii="Cambria Math" w:hAnsi="Cambria Math"/>
              </w:rPr>
              <m:t>G</m:t>
            </m:r>
          </m:sup>
        </m:sSup>
      </m:oMath>
      <w:r>
        <w:t xml:space="preserve"> denotes point </w:t>
      </w:r>
      <m:oMath>
        <m:r>
          <m:rPr>
            <m:sty m:val="b"/>
          </m:rPr>
          <w:rPr>
            <w:rFonts w:ascii="Cambria Math" w:hAnsi="Cambria Math"/>
          </w:rPr>
          <m:t>p</m:t>
        </m:r>
      </m:oMath>
      <w:r>
        <w:t xml:space="preserve"> expressed in frame </w:t>
      </w:r>
      <m:oMath>
        <m:r>
          <w:rPr>
            <w:rFonts w:ascii="Cambria Math" w:hAnsi="Cambria Math"/>
          </w:rPr>
          <m:t>G</m:t>
        </m:r>
      </m:oMath>
      <w:r>
        <w:t xml:space="preserve"> while </w:t>
      </w:r>
      <m:oMath>
        <m:sSup>
          <m:sSupPr>
            <m:ctrlPr>
              <w:rPr>
                <w:rFonts w:ascii="Cambria Math" w:hAnsi="Cambria Math"/>
              </w:rPr>
            </m:ctrlPr>
          </m:sSupPr>
          <m:e>
            <m:r>
              <m:rPr>
                <m:sty m:val="b"/>
              </m:rPr>
              <w:rPr>
                <w:rFonts w:ascii="Cambria Math" w:hAnsi="Cambria Math"/>
              </w:rPr>
              <m:t>p</m:t>
            </m:r>
          </m:e>
          <m:sup>
            <m:r>
              <w:rPr>
                <w:rFonts w:ascii="Cambria Math" w:hAnsi="Cambria Math"/>
              </w:rPr>
              <m:t>W</m:t>
            </m:r>
          </m:sup>
        </m:sSup>
      </m:oMath>
      <w:r>
        <w:t xml:space="preserve"> denotes the same location expressed in frame </w:t>
      </w:r>
      <m:oMath>
        <m:r>
          <w:rPr>
            <w:rFonts w:ascii="Cambria Math" w:hAnsi="Cambria Math"/>
          </w:rPr>
          <m:t>W</m:t>
        </m:r>
      </m:oMath>
      <w:r>
        <w:t xml:space="preserve">. Additionally, </w:t>
      </w:r>
      <m:oMath>
        <m:sSub>
          <m:sSubPr>
            <m:ctrlPr>
              <w:rPr>
                <w:rFonts w:ascii="Cambria Math" w:hAnsi="Cambria Math"/>
              </w:rPr>
            </m:ctrlPr>
          </m:sSubPr>
          <m:e>
            <m:r>
              <m:rPr>
                <m:sty m:val="b"/>
              </m:rP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j</m:t>
            </m:r>
          </m:sub>
        </m:sSub>
      </m:oMath>
      <w:r>
        <w:t xml:space="preserve"> denotes the location at the centre of cell </w:t>
      </w:r>
      <m:oMath>
        <m:r>
          <w:rPr>
            <w:rFonts w:ascii="Cambria Math" w:hAnsi="Cambria Math"/>
          </w:rPr>
          <m:t>i</m:t>
        </m:r>
        <m:r>
          <m:rPr>
            <m:sty m:val="p"/>
          </m:rPr>
          <w:rPr>
            <w:rFonts w:ascii="Cambria Math" w:hAnsi="Cambria Math"/>
          </w:rPr>
          <m:t>,</m:t>
        </m:r>
        <m:r>
          <w:rPr>
            <w:rFonts w:ascii="Cambria Math" w:hAnsi="Cambria Math"/>
          </w:rPr>
          <m:t>j</m:t>
        </m:r>
      </m:oMath>
      <w:r>
        <w:t>.</w:t>
      </w:r>
    </w:p>
    <w:p w14:paraId="00D39A3F" w14:textId="77777777" w:rsidR="006E162A" w:rsidRDefault="006E162A" w:rsidP="006E162A">
      <w:pPr>
        <w:pStyle w:val="BodyText"/>
      </w:pPr>
      <w:r>
        <w:t xml:space="preserve">Given a point, </w:t>
      </w:r>
      <m:oMath>
        <m:r>
          <m:rPr>
            <m:sty m:val="b"/>
          </m:rPr>
          <w:rPr>
            <w:rFonts w:ascii="Cambria Math" w:hAnsi="Cambria Math"/>
          </w:rPr>
          <m:t>p</m:t>
        </m:r>
      </m:oMath>
      <w:r>
        <w:t>, expressed in the grid frame, it can be converted to its equivalent in the world frame by the following relation:</w:t>
      </w:r>
    </w:p>
    <w:p w14:paraId="50D10308" w14:textId="77777777" w:rsidR="006E162A" w:rsidRDefault="007D5E47" w:rsidP="006E162A">
      <w:pPr>
        <w:pStyle w:val="BodyText"/>
      </w:pPr>
      <m:oMathPara>
        <m:oMathParaPr>
          <m:jc m:val="center"/>
        </m:oMathParaPr>
        <m:oMath>
          <m:sSup>
            <m:sSupPr>
              <m:ctrlPr>
                <w:rPr>
                  <w:rFonts w:ascii="Cambria Math" w:hAnsi="Cambria Math"/>
                </w:rPr>
              </m:ctrlPr>
            </m:sSupPr>
            <m:e>
              <m:r>
                <m:rPr>
                  <m:sty m:val="b"/>
                </m:rPr>
                <w:rPr>
                  <w:rFonts w:ascii="Cambria Math" w:hAnsi="Cambria Math"/>
                </w:rPr>
                <m:t>p</m:t>
              </m:r>
            </m:e>
            <m:sup>
              <m:r>
                <w:rPr>
                  <w:rFonts w:ascii="Cambria Math" w:hAnsi="Cambria Math"/>
                </w:rPr>
                <m:t>W</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0</m:t>
                    </m:r>
                  </m:e>
                </m:mr>
                <m:mr>
                  <m:e>
                    <m:r>
                      <w:rPr>
                        <w:rFonts w:ascii="Cambria Math" w:hAnsi="Cambria Math"/>
                      </w:rPr>
                      <m:t>0</m:t>
                    </m:r>
                  </m:e>
                  <m:e>
                    <m:r>
                      <m:rPr>
                        <m:sty m:val="p"/>
                      </m:rPr>
                      <w:rPr>
                        <w:rFonts w:ascii="Cambria Math" w:hAnsi="Cambria Math"/>
                      </w:rPr>
                      <m:t>-</m:t>
                    </m:r>
                    <m:r>
                      <w:rPr>
                        <w:rFonts w:ascii="Cambria Math" w:hAnsi="Cambria Math"/>
                      </w:rPr>
                      <m:t>w</m:t>
                    </m:r>
                  </m:e>
                </m:mr>
              </m:m>
            </m:e>
          </m:d>
          <m:sSup>
            <m:sSupPr>
              <m:ctrlPr>
                <w:rPr>
                  <w:rFonts w:ascii="Cambria Math" w:hAnsi="Cambria Math"/>
                </w:rPr>
              </m:ctrlPr>
            </m:sSupPr>
            <m:e>
              <m:r>
                <m:rPr>
                  <m:sty m:val="b"/>
                </m:rPr>
                <w:rPr>
                  <w:rFonts w:ascii="Cambria Math" w:hAnsi="Cambria Math"/>
                </w:rPr>
                <m:t>p</m:t>
              </m:r>
            </m:e>
            <m:sup>
              <m:r>
                <w:rPr>
                  <w:rFonts w:ascii="Cambria Math" w:hAnsi="Cambria Math"/>
                </w:rPr>
                <m:t>G</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w</m:t>
                        </m:r>
                      </m:num>
                      <m:den>
                        <m:r>
                          <w:rPr>
                            <w:rFonts w:ascii="Cambria Math" w:hAnsi="Cambria Math"/>
                          </w:rPr>
                          <m:t>2</m:t>
                        </m:r>
                      </m:den>
                    </m:f>
                  </m:e>
                </m:mr>
                <m:mr>
                  <m:e>
                    <m:f>
                      <m:fPr>
                        <m:ctrlPr>
                          <w:rPr>
                            <w:rFonts w:ascii="Cambria Math" w:hAnsi="Cambria Math"/>
                          </w:rPr>
                        </m:ctrlPr>
                      </m:fPr>
                      <m:num>
                        <m:r>
                          <w:rPr>
                            <w:rFonts w:ascii="Cambria Math" w:hAnsi="Cambria Math"/>
                          </w:rPr>
                          <m:t>m</m:t>
                        </m:r>
                        <m:r>
                          <m:rPr>
                            <m:sty m:val="p"/>
                          </m:rPr>
                          <w:rPr>
                            <w:rFonts w:ascii="Cambria Math" w:hAnsi="Cambria Math"/>
                          </w:rPr>
                          <m:t>⋅</m:t>
                        </m:r>
                        <m:r>
                          <w:rPr>
                            <w:rFonts w:ascii="Cambria Math" w:hAnsi="Cambria Math"/>
                          </w:rPr>
                          <m:t>w</m:t>
                        </m:r>
                      </m:num>
                      <m:den>
                        <m:r>
                          <w:rPr>
                            <w:rFonts w:ascii="Cambria Math" w:hAnsi="Cambria Math"/>
                          </w:rPr>
                          <m:t>2</m:t>
                        </m:r>
                      </m:den>
                    </m:f>
                  </m:e>
                </m:mr>
              </m:m>
            </m:e>
          </m:d>
        </m:oMath>
      </m:oMathPara>
    </w:p>
    <w:p w14:paraId="7D6E20D2" w14:textId="77777777" w:rsidR="006E162A" w:rsidRDefault="006E162A" w:rsidP="006E162A">
      <w:pPr>
        <w:pStyle w:val="BodyText"/>
      </w:pPr>
      <w:r>
        <w:t xml:space="preserve">Similarly, to convert from frame </w:t>
      </w:r>
      <m:oMath>
        <m:r>
          <w:rPr>
            <w:rFonts w:ascii="Cambria Math" w:hAnsi="Cambria Math"/>
          </w:rPr>
          <m:t>W</m:t>
        </m:r>
      </m:oMath>
      <w:r>
        <w:t xml:space="preserve"> to frame </w:t>
      </w:r>
      <m:oMath>
        <m:r>
          <w:rPr>
            <w:rFonts w:ascii="Cambria Math" w:hAnsi="Cambria Math"/>
          </w:rPr>
          <m:t>G</m:t>
        </m:r>
      </m:oMath>
      <w:r>
        <w:t xml:space="preserve"> by rearranging the equation above:</w:t>
      </w:r>
    </w:p>
    <w:p w14:paraId="04EE1892" w14:textId="77777777" w:rsidR="006E162A" w:rsidRDefault="007D5E47" w:rsidP="006E162A">
      <w:pPr>
        <w:pStyle w:val="BodyText"/>
      </w:pPr>
      <m:oMathPara>
        <m:oMathParaPr>
          <m:jc m:val="center"/>
        </m:oMathParaPr>
        <m:oMath>
          <m:sSup>
            <m:sSupPr>
              <m:ctrlPr>
                <w:rPr>
                  <w:rFonts w:ascii="Cambria Math" w:hAnsi="Cambria Math"/>
                </w:rPr>
              </m:ctrlPr>
            </m:sSupPr>
            <m:e>
              <m:r>
                <m:rPr>
                  <m:sty m:val="b"/>
                </m:rPr>
                <w:rPr>
                  <w:rFonts w:ascii="Cambria Math" w:hAnsi="Cambria Math"/>
                </w:rPr>
                <m:t>p</m:t>
              </m:r>
            </m:e>
            <m:sup>
              <m:r>
                <w:rPr>
                  <w:rFonts w:ascii="Cambria Math" w:hAnsi="Cambria Math"/>
                </w:rPr>
                <m:t>G</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w</m:t>
                        </m:r>
                      </m:den>
                    </m:f>
                  </m:e>
                  <m:e>
                    <m:r>
                      <w:rPr>
                        <w:rFonts w:ascii="Cambria Math" w:hAnsi="Cambria Math"/>
                      </w:rPr>
                      <m:t>0</m:t>
                    </m:r>
                  </m:e>
                </m:mr>
                <m:mr>
                  <m:e>
                    <m:r>
                      <w:rPr>
                        <w:rFonts w:ascii="Cambria Math" w:hAnsi="Cambria Math"/>
                      </w:rPr>
                      <m:t>0</m:t>
                    </m:r>
                  </m:e>
                  <m:e>
                    <m:f>
                      <m:fPr>
                        <m:ctrlPr>
                          <w:rPr>
                            <w:rFonts w:ascii="Cambria Math" w:hAnsi="Cambria Math"/>
                          </w:rPr>
                        </m:ctrlPr>
                      </m:fPr>
                      <m:num>
                        <m:r>
                          <w:rPr>
                            <w:rFonts w:ascii="Cambria Math" w:hAnsi="Cambria Math"/>
                          </w:rPr>
                          <m:t>1</m:t>
                        </m:r>
                      </m:num>
                      <m:den>
                        <m:r>
                          <m:rPr>
                            <m:sty m:val="p"/>
                          </m:rPr>
                          <w:rPr>
                            <w:rFonts w:ascii="Cambria Math" w:hAnsi="Cambria Math"/>
                          </w:rPr>
                          <m:t>-</m:t>
                        </m:r>
                        <m:r>
                          <w:rPr>
                            <w:rFonts w:ascii="Cambria Math" w:hAnsi="Cambria Math"/>
                          </w:rPr>
                          <m:t>w</m:t>
                        </m:r>
                      </m:den>
                    </m:f>
                  </m:e>
                </m:mr>
              </m:m>
            </m:e>
          </m:d>
          <m:d>
            <m:dPr>
              <m:ctrlPr>
                <w:rPr>
                  <w:rFonts w:ascii="Cambria Math" w:hAnsi="Cambria Math"/>
                </w:rPr>
              </m:ctrlPr>
            </m:dPr>
            <m:e>
              <m:sSup>
                <m:sSupPr>
                  <m:ctrlPr>
                    <w:rPr>
                      <w:rFonts w:ascii="Cambria Math" w:hAnsi="Cambria Math"/>
                    </w:rPr>
                  </m:ctrlPr>
                </m:sSupPr>
                <m:e>
                  <m:r>
                    <m:rPr>
                      <m:sty m:val="b"/>
                    </m:rPr>
                    <w:rPr>
                      <w:rFonts w:ascii="Cambria Math" w:hAnsi="Cambria Math"/>
                    </w:rPr>
                    <m:t>p</m:t>
                  </m:r>
                </m:e>
                <m:sup>
                  <m:r>
                    <w:rPr>
                      <w:rFonts w:ascii="Cambria Math" w:hAnsi="Cambria Math"/>
                    </w:rPr>
                    <m:t>W</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w</m:t>
                            </m:r>
                          </m:num>
                          <m:den>
                            <m:r>
                              <w:rPr>
                                <w:rFonts w:ascii="Cambria Math" w:hAnsi="Cambria Math"/>
                              </w:rPr>
                              <m:t>2</m:t>
                            </m:r>
                          </m:den>
                        </m:f>
                      </m:e>
                    </m:mr>
                    <m:mr>
                      <m:e>
                        <m:f>
                          <m:fPr>
                            <m:ctrlPr>
                              <w:rPr>
                                <w:rFonts w:ascii="Cambria Math" w:hAnsi="Cambria Math"/>
                              </w:rPr>
                            </m:ctrlPr>
                          </m:fPr>
                          <m:num>
                            <m:r>
                              <w:rPr>
                                <w:rFonts w:ascii="Cambria Math" w:hAnsi="Cambria Math"/>
                              </w:rPr>
                              <m:t>m</m:t>
                            </m:r>
                            <m:r>
                              <m:rPr>
                                <m:sty m:val="p"/>
                              </m:rPr>
                              <w:rPr>
                                <w:rFonts w:ascii="Cambria Math" w:hAnsi="Cambria Math"/>
                              </w:rPr>
                              <m:t>⋅</m:t>
                            </m:r>
                            <m:r>
                              <w:rPr>
                                <w:rFonts w:ascii="Cambria Math" w:hAnsi="Cambria Math"/>
                              </w:rPr>
                              <m:t>w</m:t>
                            </m:r>
                          </m:num>
                          <m:den>
                            <m:r>
                              <w:rPr>
                                <w:rFonts w:ascii="Cambria Math" w:hAnsi="Cambria Math"/>
                              </w:rPr>
                              <m:t>2</m:t>
                            </m:r>
                          </m:den>
                        </m:f>
                      </m:e>
                    </m:mr>
                  </m:m>
                </m:e>
              </m:d>
            </m:e>
          </m:d>
        </m:oMath>
      </m:oMathPara>
    </w:p>
    <w:p w14:paraId="3D314B51" w14:textId="77777777" w:rsidR="006E162A" w:rsidRDefault="006E162A" w:rsidP="006E162A">
      <w:pPr>
        <w:pStyle w:val="CaptionedFigure"/>
        <w:jc w:val="center"/>
      </w:pPr>
      <w:r>
        <w:rPr>
          <w:noProof/>
        </w:rPr>
        <w:lastRenderedPageBreak/>
        <w:drawing>
          <wp:inline distT="0" distB="0" distL="0" distR="0" wp14:anchorId="4B6CCC08" wp14:editId="27DC285F">
            <wp:extent cx="5067300" cy="254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067300" cy="2540000"/>
                    </a:xfrm>
                    <a:prstGeom prst="rect">
                      <a:avLst/>
                    </a:prstGeom>
                  </pic:spPr>
                </pic:pic>
              </a:graphicData>
            </a:graphic>
          </wp:inline>
        </w:drawing>
      </w:r>
    </w:p>
    <w:p w14:paraId="272337B2" w14:textId="2023274C" w:rsidR="006E162A" w:rsidRDefault="006E162A" w:rsidP="006E162A">
      <w:pPr>
        <w:pStyle w:val="QuanserFigure"/>
      </w:pPr>
      <w:bookmarkStart w:id="1" w:name="_Ref120868169"/>
      <w:r>
        <w:t xml:space="preserve">Figure </w:t>
      </w:r>
      <w:fldSimple w:instr=" SEQ Figure \* ARABIC ">
        <w:r w:rsidR="007D5E47">
          <w:rPr>
            <w:noProof/>
          </w:rPr>
          <w:t>2</w:t>
        </w:r>
      </w:fldSimple>
      <w:bookmarkEnd w:id="1"/>
      <w:r>
        <w:t xml:space="preserve">: </w:t>
      </w:r>
      <w:r w:rsidR="00A55758">
        <w:t>Orientation of g</w:t>
      </w:r>
      <w:r w:rsidR="004E5F83">
        <w:t xml:space="preserve">rid </w:t>
      </w:r>
      <w:r w:rsidR="00301A65">
        <w:t>frame and world frame c</w:t>
      </w:r>
      <w:r w:rsidRPr="00DE5D67">
        <w:t xml:space="preserve">oordinate </w:t>
      </w:r>
      <w:r w:rsidR="00301A65">
        <w:t>axes</w:t>
      </w:r>
    </w:p>
    <w:p w14:paraId="0D1C7644" w14:textId="77777777" w:rsidR="006E162A" w:rsidRDefault="006E162A" w:rsidP="006E162A">
      <w:pPr>
        <w:pStyle w:val="QuanserHeading1"/>
      </w:pPr>
      <w:r>
        <w:t xml:space="preserve">Occupancy Grid Mapping </w:t>
      </w:r>
    </w:p>
    <w:p w14:paraId="17F1D6F0" w14:textId="1F245FED" w:rsidR="006E162A" w:rsidRDefault="006E162A" w:rsidP="006E162A">
      <w:pPr>
        <w:pStyle w:val="BodyText"/>
      </w:pPr>
      <w:r>
        <w:t xml:space="preserve">The goal of occupancy grid mapping algorithms is to learn the map of an environment using a sequence of given robot states and sensor measurements. For an occupancy grid of size </w:t>
      </w:r>
      <m:oMath>
        <m:r>
          <w:rPr>
            <w:rFonts w:ascii="Cambria Math" w:hAnsi="Cambria Math"/>
          </w:rPr>
          <m:t>m</m:t>
        </m:r>
        <m:r>
          <m:rPr>
            <m:sty m:val="p"/>
          </m:rPr>
          <w:rPr>
            <w:rFonts w:ascii="Cambria Math" w:hAnsi="Cambria Math"/>
          </w:rPr>
          <m:t>×</m:t>
        </m:r>
        <m:r>
          <w:rPr>
            <w:rFonts w:ascii="Cambria Math" w:hAnsi="Cambria Math"/>
          </w:rPr>
          <m:t>n</m:t>
        </m:r>
      </m:oMath>
      <w:r>
        <w:t xml:space="preserve">, there are </w:t>
      </w:r>
      <m:oMath>
        <m:r>
          <w:rPr>
            <w:rFonts w:ascii="Cambria Math" w:hAnsi="Cambria Math"/>
          </w:rPr>
          <m:t>mn</m:t>
        </m:r>
      </m:oMath>
      <w:r>
        <w:t xml:space="preserve"> binary variables that together must be identified from a set of </w:t>
      </w:r>
      <m:oMath>
        <m:sSup>
          <m:sSupPr>
            <m:ctrlPr>
              <w:rPr>
                <w:rFonts w:ascii="Cambria Math" w:hAnsi="Cambria Math"/>
              </w:rPr>
            </m:ctrlPr>
          </m:sSupPr>
          <m:e>
            <m:r>
              <w:rPr>
                <w:rFonts w:ascii="Cambria Math" w:hAnsi="Cambria Math"/>
              </w:rPr>
              <m:t>2</m:t>
            </m:r>
          </m:e>
          <m:sup>
            <m:r>
              <w:rPr>
                <w:rFonts w:ascii="Cambria Math" w:hAnsi="Cambria Math"/>
              </w:rPr>
              <m:t>mn</m:t>
            </m:r>
          </m:sup>
        </m:sSup>
      </m:oMath>
      <w:r>
        <w:t xml:space="preserve"> possible map configurations. For even moderately sized grids, the </w:t>
      </w:r>
      <w:r w:rsidR="00D06097">
        <w:t>set</w:t>
      </w:r>
      <w:r>
        <w:t xml:space="preserve"> of all possible maps is intractably large, making it impossible to estimate an entire map directly. Instead, we break the problem down into a collection of subproblems by assuming the state of each cell is independent of all others. This allows us to replace our original </w:t>
      </w:r>
      <m:oMath>
        <m:r>
          <w:rPr>
            <w:rFonts w:ascii="Cambria Math" w:hAnsi="Cambria Math"/>
          </w:rPr>
          <m:t>mn</m:t>
        </m:r>
      </m:oMath>
      <w:r>
        <w:t xml:space="preserve">-dimensional problem with </w:t>
      </w:r>
      <m:oMath>
        <m:r>
          <w:rPr>
            <w:rFonts w:ascii="Cambria Math" w:hAnsi="Cambria Math"/>
          </w:rPr>
          <m:t>mn</m:t>
        </m:r>
      </m:oMath>
      <w:r>
        <w:t xml:space="preserve"> 1-dimensional subproblems (one for each cell) each of which can easily be solved using a binary Bayes filter.</w:t>
      </w:r>
    </w:p>
    <w:p w14:paraId="33CF6C90" w14:textId="77777777" w:rsidR="006E162A" w:rsidRPr="002B3463" w:rsidRDefault="006E162A" w:rsidP="006E162A">
      <w:pPr>
        <w:pStyle w:val="BodyText"/>
        <w:rPr>
          <w:color w:val="595959" w:themeColor="text1" w:themeTint="A6"/>
          <w:sz w:val="26"/>
          <w:szCs w:val="26"/>
        </w:rPr>
      </w:pPr>
      <w:bookmarkStart w:id="2" w:name="binary-bayes-filter-with-static-state"/>
      <w:r w:rsidRPr="002B3463">
        <w:rPr>
          <w:color w:val="595959" w:themeColor="text1" w:themeTint="A6"/>
          <w:sz w:val="26"/>
          <w:szCs w:val="26"/>
        </w:rPr>
        <w:t>Binary Bayes Filter with Static State</w:t>
      </w:r>
    </w:p>
    <w:p w14:paraId="37848CB5" w14:textId="47B9555D" w:rsidR="006E162A" w:rsidRDefault="006E162A" w:rsidP="006E162A">
      <w:pPr>
        <w:pStyle w:val="BodyText"/>
      </w:pPr>
      <w:r>
        <w:t xml:space="preserve">For each cell, </w:t>
      </w:r>
      <m:oMath>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oMath>
      <w:r>
        <w:t xml:space="preserve"> in </w:t>
      </w:r>
      <m:oMath>
        <m:r>
          <m:rPr>
            <m:sty m:val="b"/>
          </m:rPr>
          <w:rPr>
            <w:rFonts w:ascii="Cambria Math" w:hAnsi="Cambria Math"/>
          </w:rPr>
          <m:t>M</m:t>
        </m:r>
      </m:oMath>
      <w:r>
        <w:t>, the aim is to estimate the likelihood of</w:t>
      </w:r>
      <w:r w:rsidR="00481CD5">
        <w:t xml:space="preserve"> </w:t>
      </w:r>
      <m:oMath>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oMath>
      <w:r w:rsidR="00481CD5">
        <w:t xml:space="preserve"> </w:t>
      </w:r>
      <w:r>
        <w:t xml:space="preserve">being occupied given a sequence of sensor measurements and vehicle states over time </w:t>
      </w:r>
      <w:r w:rsidR="00F314A1">
        <w:t>(</w:t>
      </w:r>
      <m:oMath>
        <m:sSub>
          <m:sSubPr>
            <m:ctrlPr>
              <w:rPr>
                <w:rFonts w:ascii="Cambria Math" w:hAnsi="Cambria Math"/>
              </w:rPr>
            </m:ctrlPr>
          </m:sSubPr>
          <m:e>
            <m:r>
              <m:rPr>
                <m:sty m:val="b"/>
              </m:rP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t</m:t>
            </m:r>
          </m:sub>
        </m:sSub>
      </m:oMath>
      <w:r>
        <w:t xml:space="preserve"> and </w:t>
      </w:r>
      <m:oMath>
        <m:sSub>
          <m:sSubPr>
            <m:ctrlPr>
              <w:rPr>
                <w:rFonts w:ascii="Cambria Math" w:hAnsi="Cambria Math"/>
              </w:rPr>
            </m:ctrlPr>
          </m:sSubPr>
          <m:e>
            <m:r>
              <m:rPr>
                <m:sty m:val="b"/>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t</m:t>
            </m:r>
          </m:sub>
        </m:sSub>
      </m:oMath>
      <w:r>
        <w:t xml:space="preserve"> respectively</w:t>
      </w:r>
      <w:r w:rsidR="00F314A1">
        <w:t>)</w:t>
      </w:r>
      <w:r>
        <w:t>. Specifically, what we seek to estimate is</w:t>
      </w:r>
    </w:p>
    <w:p w14:paraId="7316BEA9" w14:textId="77777777" w:rsidR="006E162A" w:rsidRDefault="006E162A" w:rsidP="006E162A">
      <w:pPr>
        <w:pStyle w:val="QuanserFigure"/>
        <w:jc w:val="both"/>
      </w:pPr>
      <m:oMathPara>
        <m:oMathParaPr>
          <m:jc m:val="center"/>
        </m:oMathPara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t</m:t>
                  </m:r>
                </m:sub>
              </m:sSub>
            </m:e>
          </m:d>
        </m:oMath>
      </m:oMathPara>
    </w:p>
    <w:p w14:paraId="4A9D6177" w14:textId="77777777" w:rsidR="006E162A" w:rsidRDefault="006E162A" w:rsidP="006E162A">
      <w:pPr>
        <w:pStyle w:val="BodyText"/>
      </w:pPr>
      <w:r>
        <w:t xml:space="preserve">for each cell. In order to deal with numerical issues such as rounding and truncation errors that occur as </w:t>
      </w:r>
      <m:oMath>
        <m:r>
          <w:rPr>
            <w:rFonts w:ascii="Cambria Math" w:hAnsi="Cambria Math"/>
          </w:rPr>
          <m:t>p</m:t>
        </m:r>
      </m:oMath>
      <w:r>
        <w:t xml:space="preserve"> approaches its limits of </w:t>
      </w:r>
      <m:oMath>
        <m:r>
          <w:rPr>
            <w:rFonts w:ascii="Cambria Math" w:hAnsi="Cambria Math"/>
          </w:rPr>
          <m:t>0</m:t>
        </m:r>
      </m:oMath>
      <w:r>
        <w:t xml:space="preserve"> or </w:t>
      </w:r>
      <m:oMath>
        <m:r>
          <w:rPr>
            <w:rFonts w:ascii="Cambria Math" w:hAnsi="Cambria Math"/>
          </w:rPr>
          <m:t>1</m:t>
        </m:r>
      </m:oMath>
      <w:r>
        <w:t xml:space="preserve">, it is common to restate </w:t>
      </w:r>
      <m:oMath>
        <m:r>
          <w:rPr>
            <w:rFonts w:ascii="Cambria Math" w:hAnsi="Cambria Math"/>
          </w:rPr>
          <m:t>p</m:t>
        </m:r>
      </m:oMath>
      <w:r>
        <w:t xml:space="preserve"> to be in log odds form using the ‘logit’ function, defined as follows:</w:t>
      </w:r>
    </w:p>
    <w:p w14:paraId="12B0E6AE" w14:textId="77777777" w:rsidR="006E162A" w:rsidRDefault="006E162A" w:rsidP="006E162A">
      <w:pPr>
        <w:pStyle w:val="QuanserFigure"/>
        <w:jc w:val="both"/>
      </w:pPr>
      <m:oMathPara>
        <m:oMathParaPr>
          <m:jc m:val="center"/>
        </m:oMathParaPr>
        <m:oMath>
          <m:r>
            <w:rPr>
              <w:rFonts w:ascii="Cambria Math" w:hAnsi="Cambria Math"/>
            </w:rPr>
            <m:t>logit</m:t>
          </m:r>
          <m:d>
            <m:dPr>
              <m:ctrlPr>
                <w:rPr>
                  <w:rFonts w:ascii="Cambria Math" w:hAnsi="Cambria Math"/>
                </w:rPr>
              </m:ctrlPr>
            </m:dPr>
            <m:e>
              <m:r>
                <w:rPr>
                  <w:rFonts w:ascii="Cambria Math" w:hAnsi="Cambria Math"/>
                </w:rPr>
                <m:t>x</m:t>
              </m:r>
            </m:e>
          </m:d>
          <m:r>
            <m:rPr>
              <m:sty m:val="p"/>
            </m:rPr>
            <w:rPr>
              <w:rFonts w:ascii="Cambria Math" w:hAnsi="Cambria Math"/>
            </w:rPr>
            <m:t>=log</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d>
            </m:num>
            <m:den>
              <m:r>
                <w:rPr>
                  <w:rFonts w:ascii="Cambria Math" w:hAnsi="Cambria Math"/>
                </w:rPr>
                <m:t>1</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den>
          </m:f>
        </m:oMath>
      </m:oMathPara>
    </w:p>
    <w:p w14:paraId="278E4986" w14:textId="077F51BB" w:rsidR="006E162A" w:rsidRDefault="006E162A" w:rsidP="006E162A">
      <w:pPr>
        <w:pStyle w:val="BodyText"/>
      </w:pPr>
      <w:r>
        <w:t xml:space="preserve">The ‘logit’ function extends the range of probabilities </w:t>
      </w:r>
      <m:oMath>
        <m:d>
          <m:dPr>
            <m:ctrlPr>
              <w:rPr>
                <w:rFonts w:ascii="Cambria Math" w:hAnsi="Cambria Math"/>
              </w:rPr>
            </m:ctrlPr>
          </m:dPr>
          <m:e>
            <m:r>
              <w:rPr>
                <w:rFonts w:ascii="Cambria Math" w:hAnsi="Cambria Math"/>
              </w:rPr>
              <m:t>0</m:t>
            </m:r>
            <m:r>
              <m:rPr>
                <m:sty m:val="p"/>
              </m:rPr>
              <w:rPr>
                <w:rFonts w:ascii="Cambria Math" w:hAnsi="Cambria Math"/>
              </w:rPr>
              <m:t xml:space="preserve">, </m:t>
            </m:r>
            <m:r>
              <w:rPr>
                <w:rFonts w:ascii="Cambria Math" w:hAnsi="Cambria Math"/>
              </w:rPr>
              <m:t>1</m:t>
            </m:r>
          </m:e>
        </m:d>
      </m:oMath>
      <w:r>
        <w:t xml:space="preserve"> to a range of </w:t>
      </w:r>
      <m:oMath>
        <m:d>
          <m:dPr>
            <m:ctrlPr>
              <w:rPr>
                <w:rFonts w:ascii="Cambria Math" w:hAnsi="Cambria Math"/>
              </w:rPr>
            </m:ctrlPr>
          </m:dPr>
          <m:e>
            <m:r>
              <m:rPr>
                <m:sty m:val="p"/>
              </m:rPr>
              <w:rPr>
                <w:rFonts w:ascii="Cambria Math" w:hAnsi="Cambria Math"/>
              </w:rPr>
              <m:t>-∞, ∞</m:t>
            </m:r>
          </m:e>
        </m:d>
      </m:oMath>
      <w:r>
        <w:t xml:space="preserve">, as shown in </w:t>
      </w:r>
      <w:r>
        <w:fldChar w:fldCharType="begin"/>
      </w:r>
      <w:r>
        <w:instrText xml:space="preserve"> REF _Ref120880658 \h </w:instrText>
      </w:r>
      <w:r>
        <w:fldChar w:fldCharType="separate"/>
      </w:r>
      <w:r w:rsidR="007D5E47">
        <w:t xml:space="preserve">Figure </w:t>
      </w:r>
      <w:r w:rsidR="007D5E47">
        <w:rPr>
          <w:noProof/>
        </w:rPr>
        <w:t>3</w:t>
      </w:r>
      <w:r>
        <w:fldChar w:fldCharType="end"/>
      </w:r>
      <w:r>
        <w:t xml:space="preserve">. Using the log odds form has a secondary benefit in that filter </w:t>
      </w:r>
      <w:r>
        <w:lastRenderedPageBreak/>
        <w:t>updates require only addition operations to be performed. The original probability can be returned by simply rearranging the equation above:</w:t>
      </w:r>
    </w:p>
    <w:p w14:paraId="18A768E2" w14:textId="77777777" w:rsidR="006E162A" w:rsidRPr="004114C6" w:rsidRDefault="006E162A" w:rsidP="006E162A">
      <w:pPr>
        <w:pStyle w:val="QuanserFigure"/>
        <w:jc w:val="both"/>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+exp</m:t>
              </m:r>
              <m:d>
                <m:dPr>
                  <m:begChr m:val="{"/>
                  <m:endChr m:val="}"/>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e>
                  </m:d>
                </m:e>
              </m:d>
            </m:den>
          </m:f>
        </m:oMath>
      </m:oMathPara>
    </w:p>
    <w:p w14:paraId="696F595A" w14:textId="77777777" w:rsidR="006E162A" w:rsidRPr="004114C6" w:rsidRDefault="006E162A" w:rsidP="006E162A">
      <w:pPr>
        <w:pStyle w:val="QuanserFigure"/>
        <w:jc w:val="both"/>
      </w:pPr>
    </w:p>
    <w:p w14:paraId="6FC3B4D3" w14:textId="77777777" w:rsidR="006E162A" w:rsidRDefault="006E162A" w:rsidP="006E162A">
      <w:pPr>
        <w:pStyle w:val="BodyText"/>
      </w:pPr>
      <w:r>
        <w:t>Applying the logit transformation, we obtain the binary Bayes filter in log-odds form:</w:t>
      </w:r>
    </w:p>
    <w:p w14:paraId="41FCE868" w14:textId="77777777" w:rsidR="006E162A" w:rsidRDefault="007D5E47" w:rsidP="006E162A">
      <w:pPr>
        <w:pStyle w:val="QuanserFigure"/>
        <w:jc w:val="both"/>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+log</m:t>
          </m:r>
          <m:f>
            <m:fPr>
              <m:ctrlPr>
                <w:rPr>
                  <w:rFonts w:ascii="Cambria Math" w:hAnsi="Cambria Math"/>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num>
            <m:den>
              <m:r>
                <w:rPr>
                  <w:rFonts w:ascii="Cambria Math" w:hAnsi="Cambria Math"/>
                </w:rPr>
                <m:t>1</m:t>
              </m:r>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oMath>
      </m:oMathPara>
    </w:p>
    <w:p w14:paraId="1E6CAB09" w14:textId="3F4E4301" w:rsidR="006E162A" w:rsidRDefault="006E162A" w:rsidP="006E162A">
      <w:pPr>
        <w:pStyle w:val="BodyText"/>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constitutes the initial likelihood before any measurements have been taken. Without prior knowledge of the environment, assume each cell is equally likely to be occupied as it is to be free, giving</w:t>
      </w:r>
      <w:r w:rsidR="001B147D">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r>
          <w:rPr>
            <w:rFonts w:ascii="Cambria Math" w:hAnsi="Cambria Math"/>
          </w:rPr>
          <m:t>0.5</m:t>
        </m:r>
      </m:oMath>
      <w:r>
        <w:t>. Thus, for each cell</w:t>
      </w:r>
    </w:p>
    <w:p w14:paraId="49EA3629" w14:textId="7A74EFE6" w:rsidR="006E162A" w:rsidRDefault="007D5E47" w:rsidP="006E162A">
      <w:pPr>
        <w:pStyle w:val="QuanserFigure"/>
        <w:jc w:val="both"/>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=log</m:t>
          </m:r>
          <m:f>
            <m:fPr>
              <m:ctrlPr>
                <w:rPr>
                  <w:rFonts w:ascii="Cambria Math" w:hAnsi="Cambria Math"/>
                </w:rPr>
              </m:ctrlPr>
            </m:fPr>
            <m:num>
              <m:sSub>
                <m:sSubPr>
                  <m:ctrlPr>
                    <w:rPr>
                      <w:rFonts w:ascii="Cambria Math" w:hAnsi="Cambria Math"/>
                      <w:i/>
                      <w:sz w:val="24"/>
                      <w:szCs w:val="24"/>
                      <w:lang w:val="en-US"/>
                    </w:rPr>
                  </m:ctrlPr>
                </m:sSubPr>
                <m:e>
                  <m:r>
                    <w:rPr>
                      <w:rFonts w:ascii="Cambria Math" w:hAnsi="Cambria Math"/>
                    </w:rPr>
                    <m:t>p</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num>
            <m:den>
              <m:r>
                <w:rPr>
                  <w:rFonts w:ascii="Cambria Math" w:hAnsi="Cambria Math"/>
                </w:rPr>
                <m:t>1</m:t>
              </m:r>
              <m:r>
                <m:rPr>
                  <m:sty m:val="p"/>
                </m:rPr>
                <w:rPr>
                  <w:rFonts w:ascii="Cambria Math" w:hAnsi="Cambria Math"/>
                </w:rPr>
                <m:t>-</m:t>
              </m:r>
              <m:sSub>
                <m:sSubPr>
                  <m:ctrlPr>
                    <w:rPr>
                      <w:rFonts w:ascii="Cambria Math" w:hAnsi="Cambria Math"/>
                      <w:i/>
                      <w:sz w:val="24"/>
                      <w:szCs w:val="24"/>
                      <w:lang w:val="en-US"/>
                    </w:rPr>
                  </m:ctrlPr>
                </m:sSubPr>
                <m:e>
                  <m:r>
                    <w:rPr>
                      <w:rFonts w:ascii="Cambria Math" w:hAnsi="Cambria Math"/>
                    </w:rPr>
                    <m:t>p</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den>
          </m:f>
          <m:r>
            <m:rPr>
              <m:sty m:val="p"/>
            </m:rPr>
            <w:rPr>
              <w:rFonts w:ascii="Cambria Math" w:hAnsi="Cambria Math"/>
            </w:rPr>
            <m:t>=log</m:t>
          </m:r>
          <m:f>
            <m:fPr>
              <m:ctrlPr>
                <w:rPr>
                  <w:rFonts w:ascii="Cambria Math" w:hAnsi="Cambria Math"/>
                </w:rPr>
              </m:ctrlPr>
            </m:fPr>
            <m:num>
              <m:r>
                <w:rPr>
                  <w:rFonts w:ascii="Cambria Math" w:hAnsi="Cambria Math"/>
                </w:rPr>
                <m:t>0.5</m:t>
              </m:r>
            </m:num>
            <m:den>
              <m:r>
                <w:rPr>
                  <w:rFonts w:ascii="Cambria Math" w:hAnsi="Cambria Math"/>
                </w:rPr>
                <m:t>1</m:t>
              </m:r>
              <m:r>
                <m:rPr>
                  <m:sty m:val="p"/>
                </m:rPr>
                <w:rPr>
                  <w:rFonts w:ascii="Cambria Math" w:hAnsi="Cambria Math"/>
                </w:rPr>
                <m:t>-</m:t>
              </m:r>
              <m:r>
                <w:rPr>
                  <w:rFonts w:ascii="Cambria Math" w:hAnsi="Cambria Math"/>
                </w:rPr>
                <m:t>0.5</m:t>
              </m:r>
            </m:den>
          </m:f>
          <m:r>
            <m:rPr>
              <m:sty m:val="p"/>
            </m:rPr>
            <w:rPr>
              <w:rFonts w:ascii="Cambria Math" w:hAnsi="Cambria Math"/>
            </w:rPr>
            <m:t>=</m:t>
          </m:r>
          <m:r>
            <w:rPr>
              <w:rFonts w:ascii="Cambria Math" w:hAnsi="Cambria Math"/>
            </w:rPr>
            <m:t>0</m:t>
          </m:r>
        </m:oMath>
      </m:oMathPara>
    </w:p>
    <w:p w14:paraId="392C9E15" w14:textId="77777777" w:rsidR="006E162A" w:rsidRDefault="006E162A" w:rsidP="006E162A">
      <w:pPr>
        <w:pStyle w:val="BodyText"/>
      </w:pPr>
      <w:r>
        <w:t>The bayes filter update equation can then be simplified to</w:t>
      </w:r>
    </w:p>
    <w:p w14:paraId="7FB967A3" w14:textId="77777777" w:rsidR="006E162A" w:rsidRDefault="007D5E47" w:rsidP="006E162A">
      <w:pPr>
        <w:pStyle w:val="QuanserFigure"/>
        <w:jc w:val="both"/>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t</m:t>
              </m:r>
              <m:r>
                <m:rPr>
                  <m:sty m:val="p"/>
                </m:rPr>
                <w:rPr>
                  <w:rFonts w:ascii="Cambria Math" w:hAnsi="Cambria Math"/>
                </w:rPr>
                <m:t>-</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e>
          </m:d>
          <m:r>
            <m:rPr>
              <m:sty m:val="p"/>
            </m:rPr>
            <w:rPr>
              <w:rFonts w:ascii="Cambria Math" w:hAnsi="Cambria Math"/>
            </w:rPr>
            <m:t>+log</m:t>
          </m:r>
          <m:f>
            <m:fPr>
              <m:ctrlPr>
                <w:rPr>
                  <w:rFonts w:ascii="Cambria Math" w:hAnsi="Cambria Math"/>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num>
            <m:den>
              <m:r>
                <w:rPr>
                  <w:rFonts w:ascii="Cambria Math" w:hAnsi="Cambria Math"/>
                </w:rPr>
                <m:t>1</m:t>
              </m:r>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den>
          </m:f>
        </m:oMath>
      </m:oMathPara>
    </w:p>
    <w:p w14:paraId="06C9DA85" w14:textId="77777777" w:rsidR="006E162A" w:rsidRDefault="006E162A" w:rsidP="006E162A">
      <w:pPr>
        <w:pStyle w:val="BodyText"/>
      </w:p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e>
        </m:d>
      </m:oMath>
      <w:r>
        <w:t xml:space="preserve"> comes from the sensor specific inverse measurement model (the likelihood of </w:t>
      </w:r>
      <m:oMath>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m:t>
            </m:r>
            <m:r>
              <w:rPr>
                <w:rFonts w:ascii="Cambria Math" w:hAnsi="Cambria Math"/>
              </w:rPr>
              <m:t>j</m:t>
            </m:r>
          </m:sub>
        </m:sSub>
      </m:oMath>
      <w:r>
        <w:t xml:space="preserve"> being occupied given measurement </w:t>
      </w:r>
      <m:oMath>
        <m:sSub>
          <m:sSubPr>
            <m:ctrlPr>
              <w:rPr>
                <w:rFonts w:ascii="Cambria Math" w:hAnsi="Cambria Math"/>
              </w:rPr>
            </m:ctrlPr>
          </m:sSubPr>
          <m:e>
            <m:r>
              <m:rPr>
                <m:sty m:val="b"/>
              </m:rPr>
              <w:rPr>
                <w:rFonts w:ascii="Cambria Math" w:hAnsi="Cambria Math"/>
              </w:rPr>
              <m:t>z</m:t>
            </m:r>
          </m:e>
          <m:sub>
            <m:r>
              <w:rPr>
                <w:rFonts w:ascii="Cambria Math" w:hAnsi="Cambria Math"/>
              </w:rPr>
              <m:t>t</m:t>
            </m:r>
          </m:sub>
        </m:sSub>
      </m:oMath>
      <w:r>
        <w:t>)</w:t>
      </w:r>
      <w:bookmarkEnd w:id="2"/>
      <w:r>
        <w:t xml:space="preserve">. For an example of an inverse measurement model refer to </w:t>
      </w:r>
      <w:r w:rsidRPr="00800679">
        <w:rPr>
          <w:color w:val="E31A23"/>
        </w:rPr>
        <w:t>Concept Review - LiDAR Inverse Measurement model</w:t>
      </w:r>
    </w:p>
    <w:p w14:paraId="08D0CF00" w14:textId="77777777" w:rsidR="006E162A" w:rsidRDefault="006E162A" w:rsidP="006E162A">
      <w:pPr>
        <w:pStyle w:val="QuanserFigure"/>
      </w:pPr>
      <w:r>
        <w:rPr>
          <w:noProof/>
        </w:rPr>
        <w:drawing>
          <wp:inline distT="0" distB="0" distL="0" distR="0" wp14:anchorId="440599B5" wp14:editId="25E67C63">
            <wp:extent cx="5118259" cy="2562446"/>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132861" cy="2569757"/>
                    </a:xfrm>
                    <a:prstGeom prst="rect">
                      <a:avLst/>
                    </a:prstGeom>
                  </pic:spPr>
                </pic:pic>
              </a:graphicData>
            </a:graphic>
          </wp:inline>
        </w:drawing>
      </w:r>
    </w:p>
    <w:p w14:paraId="4DA1ECB2" w14:textId="7ACC33C5" w:rsidR="006E162A" w:rsidRDefault="006E162A" w:rsidP="006E162A">
      <w:pPr>
        <w:pStyle w:val="QuanserFigure"/>
      </w:pPr>
      <w:bookmarkStart w:id="3" w:name="_Ref120880658"/>
      <w:r>
        <w:t xml:space="preserve">Figure </w:t>
      </w:r>
      <w:fldSimple w:instr=" SEQ Figure \* ARABIC ">
        <w:r w:rsidR="007D5E47">
          <w:rPr>
            <w:noProof/>
          </w:rPr>
          <w:t>3</w:t>
        </w:r>
      </w:fldSimple>
      <w:bookmarkEnd w:id="3"/>
      <w:r>
        <w:t>: Logit function for the range of probabilities from 0 to 1</w:t>
      </w:r>
    </w:p>
    <w:p w14:paraId="34995A2F"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2"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23"/>
      <w:headerReference w:type="first" r:id="rId24"/>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64152" w14:textId="77777777" w:rsidR="0078210C" w:rsidRDefault="0078210C" w:rsidP="00122BB7">
      <w:pPr>
        <w:spacing w:after="0" w:line="240" w:lineRule="auto"/>
      </w:pPr>
      <w:r>
        <w:separator/>
      </w:r>
    </w:p>
  </w:endnote>
  <w:endnote w:type="continuationSeparator" w:id="0">
    <w:p w14:paraId="06D401D5" w14:textId="77777777" w:rsidR="0078210C" w:rsidRDefault="0078210C" w:rsidP="00122BB7">
      <w:pPr>
        <w:spacing w:after="0" w:line="240" w:lineRule="auto"/>
      </w:pPr>
      <w:r>
        <w:continuationSeparator/>
      </w:r>
    </w:p>
  </w:endnote>
  <w:endnote w:type="continuationNotice" w:id="1">
    <w:p w14:paraId="38A74223" w14:textId="77777777" w:rsidR="0078210C" w:rsidRDefault="007821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BE161FB-56C3-4966-A91C-595AB24646BF}"/>
    <w:embedBold r:id="rId2" w:fontKey="{431FE93E-2A5D-46F9-9620-173B8BF0772A}"/>
    <w:embedItalic r:id="rId3" w:fontKey="{AC9F2272-ED8B-4321-A92C-EC6E3FA6FD1C}"/>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4" w:fontKey="{0FB7AA54-E0D4-40F5-864C-D82250599496}"/>
  </w:font>
  <w:font w:name="DengXian Light">
    <w:altName w:val="等线 Light"/>
    <w:charset w:val="86"/>
    <w:family w:val="auto"/>
    <w:pitch w:val="variable"/>
    <w:sig w:usb0="A00002BF" w:usb1="38CF7CFA" w:usb2="00000016" w:usb3="00000000" w:csb0="0004000F" w:csb1="00000000"/>
  </w:font>
  <w:font w:name="Raleway">
    <w:altName w:val="Raleway"/>
    <w:charset w:val="00"/>
    <w:family w:val="auto"/>
    <w:pitch w:val="variable"/>
    <w:sig w:usb0="A00002FF" w:usb1="5000205B" w:usb2="00000000" w:usb3="00000000" w:csb0="00000197" w:csb1="00000000"/>
    <w:embedRegular r:id="rId5" w:fontKey="{7AA04B54-633F-49B4-8CDB-CE9D72A482F5}"/>
    <w:embedBold r:id="rId6" w:fontKey="{6846CF93-8960-45BA-BFFA-E072E65291B3}"/>
    <w:embedItalic r:id="rId7" w:fontKey="{904BBB0D-18E0-4A98-9AA0-56CC4096244D}"/>
  </w:font>
  <w:font w:name="Segoe UI">
    <w:panose1 w:val="020B0502040204020203"/>
    <w:charset w:val="00"/>
    <w:family w:val="swiss"/>
    <w:pitch w:val="variable"/>
    <w:sig w:usb0="E4002EFF" w:usb1="C000E47F" w:usb2="00000009" w:usb3="00000000" w:csb0="000001FF" w:csb1="00000000"/>
    <w:embedRegular r:id="rId8" w:fontKey="{92EDCB66-68E5-4CC8-957C-7FCDE20A488E}"/>
  </w:font>
  <w:font w:name="Cambria Math">
    <w:panose1 w:val="02040503050406030204"/>
    <w:charset w:val="00"/>
    <w:family w:val="roman"/>
    <w:pitch w:val="variable"/>
    <w:sig w:usb0="E00006FF" w:usb1="420024FF" w:usb2="02000000" w:usb3="00000000" w:csb0="0000019F" w:csb1="00000000"/>
    <w:embedRegular r:id="rId9" w:fontKey="{87B5CFFF-7B26-4E41-A79C-A3B7248D0CD1}"/>
    <w:embedBold r:id="rId10" w:fontKey="{4EE5C1B3-AE12-41E3-807D-00B7A3523488}"/>
    <w:embedItalic r:id="rId11" w:fontKey="{3A38C137-E2B3-4D38-8641-24ACC9DADE58}"/>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18E41" w14:textId="77777777" w:rsidR="0078210C" w:rsidRDefault="0078210C" w:rsidP="00122BB7">
      <w:pPr>
        <w:spacing w:after="0" w:line="240" w:lineRule="auto"/>
      </w:pPr>
      <w:r>
        <w:separator/>
      </w:r>
    </w:p>
  </w:footnote>
  <w:footnote w:type="continuationSeparator" w:id="0">
    <w:p w14:paraId="2552E720" w14:textId="77777777" w:rsidR="0078210C" w:rsidRDefault="0078210C" w:rsidP="00122BB7">
      <w:pPr>
        <w:spacing w:after="0" w:line="240" w:lineRule="auto"/>
      </w:pPr>
      <w:r>
        <w:continuationSeparator/>
      </w:r>
    </w:p>
  </w:footnote>
  <w:footnote w:type="continuationNotice" w:id="1">
    <w:p w14:paraId="6985A3F6" w14:textId="77777777" w:rsidR="0078210C" w:rsidRDefault="007821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D46BB4"/>
    <w:multiLevelType w:val="hybridMultilevel"/>
    <w:tmpl w:val="55529B84"/>
    <w:lvl w:ilvl="0" w:tplc="6B9841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42892475">
    <w:abstractNumId w:val="1"/>
  </w:num>
  <w:num w:numId="2" w16cid:durableId="10343128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0792"/>
    <w:rsid w:val="000227DE"/>
    <w:rsid w:val="00032B24"/>
    <w:rsid w:val="00034895"/>
    <w:rsid w:val="00043B58"/>
    <w:rsid w:val="00044F6A"/>
    <w:rsid w:val="00047EC1"/>
    <w:rsid w:val="0005390E"/>
    <w:rsid w:val="0006271E"/>
    <w:rsid w:val="000717DC"/>
    <w:rsid w:val="000779B6"/>
    <w:rsid w:val="00080931"/>
    <w:rsid w:val="00084277"/>
    <w:rsid w:val="00084A7B"/>
    <w:rsid w:val="00087A24"/>
    <w:rsid w:val="000921F5"/>
    <w:rsid w:val="000935DC"/>
    <w:rsid w:val="00097BA1"/>
    <w:rsid w:val="000A174D"/>
    <w:rsid w:val="000A7543"/>
    <w:rsid w:val="000B2422"/>
    <w:rsid w:val="000B4563"/>
    <w:rsid w:val="000D2318"/>
    <w:rsid w:val="000D2D0A"/>
    <w:rsid w:val="000E05D9"/>
    <w:rsid w:val="000E3517"/>
    <w:rsid w:val="000E67BF"/>
    <w:rsid w:val="000F0F6D"/>
    <w:rsid w:val="00102E16"/>
    <w:rsid w:val="00105535"/>
    <w:rsid w:val="0010644D"/>
    <w:rsid w:val="00116C94"/>
    <w:rsid w:val="00117213"/>
    <w:rsid w:val="00120BB7"/>
    <w:rsid w:val="0012145F"/>
    <w:rsid w:val="00122BB7"/>
    <w:rsid w:val="00131B19"/>
    <w:rsid w:val="0013300C"/>
    <w:rsid w:val="001335B6"/>
    <w:rsid w:val="00135BC1"/>
    <w:rsid w:val="001467C7"/>
    <w:rsid w:val="00151DF7"/>
    <w:rsid w:val="0015399D"/>
    <w:rsid w:val="00154A61"/>
    <w:rsid w:val="00155E42"/>
    <w:rsid w:val="00167255"/>
    <w:rsid w:val="0019501F"/>
    <w:rsid w:val="00195E9A"/>
    <w:rsid w:val="0019600C"/>
    <w:rsid w:val="001A6F83"/>
    <w:rsid w:val="001B147D"/>
    <w:rsid w:val="001B3180"/>
    <w:rsid w:val="001C6BC9"/>
    <w:rsid w:val="001F0EAA"/>
    <w:rsid w:val="001F1D18"/>
    <w:rsid w:val="001F4887"/>
    <w:rsid w:val="00200D93"/>
    <w:rsid w:val="0021490F"/>
    <w:rsid w:val="002215D8"/>
    <w:rsid w:val="00222DB7"/>
    <w:rsid w:val="00222E41"/>
    <w:rsid w:val="00247237"/>
    <w:rsid w:val="002476C1"/>
    <w:rsid w:val="00247868"/>
    <w:rsid w:val="00250123"/>
    <w:rsid w:val="002558AF"/>
    <w:rsid w:val="002640C9"/>
    <w:rsid w:val="00271051"/>
    <w:rsid w:val="002849CF"/>
    <w:rsid w:val="002878EB"/>
    <w:rsid w:val="002913D2"/>
    <w:rsid w:val="00295258"/>
    <w:rsid w:val="002A428B"/>
    <w:rsid w:val="002A5257"/>
    <w:rsid w:val="002A7C0D"/>
    <w:rsid w:val="002B3463"/>
    <w:rsid w:val="002C5634"/>
    <w:rsid w:val="002C5821"/>
    <w:rsid w:val="002D2EC2"/>
    <w:rsid w:val="002D4375"/>
    <w:rsid w:val="002D5853"/>
    <w:rsid w:val="002E1DD1"/>
    <w:rsid w:val="002F117E"/>
    <w:rsid w:val="00300FE3"/>
    <w:rsid w:val="00301A65"/>
    <w:rsid w:val="003042F0"/>
    <w:rsid w:val="003112F5"/>
    <w:rsid w:val="00324045"/>
    <w:rsid w:val="003252EF"/>
    <w:rsid w:val="003275C5"/>
    <w:rsid w:val="00331109"/>
    <w:rsid w:val="00334CB9"/>
    <w:rsid w:val="0035751D"/>
    <w:rsid w:val="00361DEE"/>
    <w:rsid w:val="00370C50"/>
    <w:rsid w:val="00371725"/>
    <w:rsid w:val="00376E81"/>
    <w:rsid w:val="00376EC8"/>
    <w:rsid w:val="003772A6"/>
    <w:rsid w:val="00377C53"/>
    <w:rsid w:val="00384CAC"/>
    <w:rsid w:val="003A0CBB"/>
    <w:rsid w:val="003A4F75"/>
    <w:rsid w:val="003B63A8"/>
    <w:rsid w:val="003C1234"/>
    <w:rsid w:val="003D3955"/>
    <w:rsid w:val="003E0BA2"/>
    <w:rsid w:val="003E1DE8"/>
    <w:rsid w:val="003E6178"/>
    <w:rsid w:val="003F7526"/>
    <w:rsid w:val="0040614B"/>
    <w:rsid w:val="00407CFB"/>
    <w:rsid w:val="00410884"/>
    <w:rsid w:val="0041301A"/>
    <w:rsid w:val="0041459B"/>
    <w:rsid w:val="0042005C"/>
    <w:rsid w:val="00426BFF"/>
    <w:rsid w:val="004304D5"/>
    <w:rsid w:val="00441CFC"/>
    <w:rsid w:val="004545BE"/>
    <w:rsid w:val="004805F5"/>
    <w:rsid w:val="00481CD5"/>
    <w:rsid w:val="00483F76"/>
    <w:rsid w:val="004840D1"/>
    <w:rsid w:val="0049595E"/>
    <w:rsid w:val="004B3AB2"/>
    <w:rsid w:val="004C7DB7"/>
    <w:rsid w:val="004E5F83"/>
    <w:rsid w:val="004E6932"/>
    <w:rsid w:val="004F2AAF"/>
    <w:rsid w:val="00506397"/>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3D56"/>
    <w:rsid w:val="005E5A67"/>
    <w:rsid w:val="005F4546"/>
    <w:rsid w:val="00605CFE"/>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36A"/>
    <w:rsid w:val="00693F31"/>
    <w:rsid w:val="0069460B"/>
    <w:rsid w:val="0069644C"/>
    <w:rsid w:val="006971F3"/>
    <w:rsid w:val="006A4C0E"/>
    <w:rsid w:val="006B04AD"/>
    <w:rsid w:val="006B2286"/>
    <w:rsid w:val="006B40B5"/>
    <w:rsid w:val="006D3587"/>
    <w:rsid w:val="006D600F"/>
    <w:rsid w:val="006E162A"/>
    <w:rsid w:val="006E5502"/>
    <w:rsid w:val="006E594D"/>
    <w:rsid w:val="007024C5"/>
    <w:rsid w:val="00706674"/>
    <w:rsid w:val="0071157E"/>
    <w:rsid w:val="00714D7C"/>
    <w:rsid w:val="00740348"/>
    <w:rsid w:val="00743022"/>
    <w:rsid w:val="007445C4"/>
    <w:rsid w:val="0074571F"/>
    <w:rsid w:val="00750657"/>
    <w:rsid w:val="007522E5"/>
    <w:rsid w:val="00764E0E"/>
    <w:rsid w:val="0077226A"/>
    <w:rsid w:val="00774B77"/>
    <w:rsid w:val="0077608C"/>
    <w:rsid w:val="00780AAA"/>
    <w:rsid w:val="0078210C"/>
    <w:rsid w:val="0078798F"/>
    <w:rsid w:val="007903EA"/>
    <w:rsid w:val="007915BD"/>
    <w:rsid w:val="00791C0D"/>
    <w:rsid w:val="007937AD"/>
    <w:rsid w:val="00795467"/>
    <w:rsid w:val="007A3FC6"/>
    <w:rsid w:val="007A5017"/>
    <w:rsid w:val="007A762B"/>
    <w:rsid w:val="007A7860"/>
    <w:rsid w:val="007A7E23"/>
    <w:rsid w:val="007B2170"/>
    <w:rsid w:val="007B3ABD"/>
    <w:rsid w:val="007B5809"/>
    <w:rsid w:val="007C3CD0"/>
    <w:rsid w:val="007D53CA"/>
    <w:rsid w:val="007D5E47"/>
    <w:rsid w:val="007E61A3"/>
    <w:rsid w:val="007E67A1"/>
    <w:rsid w:val="00807CC2"/>
    <w:rsid w:val="00810B16"/>
    <w:rsid w:val="00811F7C"/>
    <w:rsid w:val="008211ED"/>
    <w:rsid w:val="00830D57"/>
    <w:rsid w:val="008340D8"/>
    <w:rsid w:val="00835F39"/>
    <w:rsid w:val="008439BB"/>
    <w:rsid w:val="008564EE"/>
    <w:rsid w:val="008618BB"/>
    <w:rsid w:val="00862E57"/>
    <w:rsid w:val="00865F72"/>
    <w:rsid w:val="00866CE5"/>
    <w:rsid w:val="00872F9B"/>
    <w:rsid w:val="0088015B"/>
    <w:rsid w:val="0088151C"/>
    <w:rsid w:val="0088402C"/>
    <w:rsid w:val="0089106B"/>
    <w:rsid w:val="00895608"/>
    <w:rsid w:val="008A4823"/>
    <w:rsid w:val="008B1747"/>
    <w:rsid w:val="008D10C8"/>
    <w:rsid w:val="008D5B2D"/>
    <w:rsid w:val="008D5BC1"/>
    <w:rsid w:val="008E4D3A"/>
    <w:rsid w:val="008F3A8D"/>
    <w:rsid w:val="008F616E"/>
    <w:rsid w:val="00905967"/>
    <w:rsid w:val="009108A0"/>
    <w:rsid w:val="00914298"/>
    <w:rsid w:val="00916C70"/>
    <w:rsid w:val="009206AD"/>
    <w:rsid w:val="00923489"/>
    <w:rsid w:val="009309B1"/>
    <w:rsid w:val="0094025D"/>
    <w:rsid w:val="009456A8"/>
    <w:rsid w:val="009456F2"/>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36E4D"/>
    <w:rsid w:val="00A47B65"/>
    <w:rsid w:val="00A53D01"/>
    <w:rsid w:val="00A54741"/>
    <w:rsid w:val="00A55758"/>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0367E"/>
    <w:rsid w:val="00B12946"/>
    <w:rsid w:val="00B16B37"/>
    <w:rsid w:val="00B16E9B"/>
    <w:rsid w:val="00B218C8"/>
    <w:rsid w:val="00B25949"/>
    <w:rsid w:val="00B31EB4"/>
    <w:rsid w:val="00B419AF"/>
    <w:rsid w:val="00B431B8"/>
    <w:rsid w:val="00B5149D"/>
    <w:rsid w:val="00B52956"/>
    <w:rsid w:val="00B56246"/>
    <w:rsid w:val="00B61B5C"/>
    <w:rsid w:val="00B63FFA"/>
    <w:rsid w:val="00B72EDD"/>
    <w:rsid w:val="00B73B60"/>
    <w:rsid w:val="00B86F25"/>
    <w:rsid w:val="00B87997"/>
    <w:rsid w:val="00B91B00"/>
    <w:rsid w:val="00BA1C0F"/>
    <w:rsid w:val="00BA24DC"/>
    <w:rsid w:val="00BA3DCA"/>
    <w:rsid w:val="00BC30E3"/>
    <w:rsid w:val="00BD2C03"/>
    <w:rsid w:val="00BD7ADF"/>
    <w:rsid w:val="00BD7D4F"/>
    <w:rsid w:val="00C0235E"/>
    <w:rsid w:val="00C03EEE"/>
    <w:rsid w:val="00C1097A"/>
    <w:rsid w:val="00C12882"/>
    <w:rsid w:val="00C12D6A"/>
    <w:rsid w:val="00C15152"/>
    <w:rsid w:val="00C247B3"/>
    <w:rsid w:val="00C31E3F"/>
    <w:rsid w:val="00C34841"/>
    <w:rsid w:val="00C60D4A"/>
    <w:rsid w:val="00C63200"/>
    <w:rsid w:val="00C70254"/>
    <w:rsid w:val="00C72F56"/>
    <w:rsid w:val="00C80E46"/>
    <w:rsid w:val="00C8279F"/>
    <w:rsid w:val="00C84B46"/>
    <w:rsid w:val="00C876DC"/>
    <w:rsid w:val="00C94813"/>
    <w:rsid w:val="00CA0A6D"/>
    <w:rsid w:val="00CA2E93"/>
    <w:rsid w:val="00CD4D21"/>
    <w:rsid w:val="00CE009D"/>
    <w:rsid w:val="00CE6F84"/>
    <w:rsid w:val="00CF02BA"/>
    <w:rsid w:val="00CF361B"/>
    <w:rsid w:val="00CF69BE"/>
    <w:rsid w:val="00D06097"/>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5CA1"/>
    <w:rsid w:val="00D75CCF"/>
    <w:rsid w:val="00D77A5E"/>
    <w:rsid w:val="00D8043C"/>
    <w:rsid w:val="00D82E59"/>
    <w:rsid w:val="00D8356B"/>
    <w:rsid w:val="00D840FE"/>
    <w:rsid w:val="00D92053"/>
    <w:rsid w:val="00DA3E86"/>
    <w:rsid w:val="00DA43C8"/>
    <w:rsid w:val="00DB78FB"/>
    <w:rsid w:val="00DD04FC"/>
    <w:rsid w:val="00DE401A"/>
    <w:rsid w:val="00DE7E3C"/>
    <w:rsid w:val="00DF43CA"/>
    <w:rsid w:val="00E01BC1"/>
    <w:rsid w:val="00E02C1C"/>
    <w:rsid w:val="00E11235"/>
    <w:rsid w:val="00E1212E"/>
    <w:rsid w:val="00E123D4"/>
    <w:rsid w:val="00E12662"/>
    <w:rsid w:val="00E225F1"/>
    <w:rsid w:val="00E36298"/>
    <w:rsid w:val="00E40060"/>
    <w:rsid w:val="00E51BA6"/>
    <w:rsid w:val="00E56833"/>
    <w:rsid w:val="00E57CCA"/>
    <w:rsid w:val="00E7266F"/>
    <w:rsid w:val="00E7483C"/>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304F5"/>
    <w:rsid w:val="00F314A1"/>
    <w:rsid w:val="00F60FE1"/>
    <w:rsid w:val="00F74FA8"/>
    <w:rsid w:val="00F9503F"/>
    <w:rsid w:val="00FA47A6"/>
    <w:rsid w:val="00FA7D21"/>
    <w:rsid w:val="00FB5FA5"/>
    <w:rsid w:val="00FC48B7"/>
    <w:rsid w:val="00FC5B84"/>
    <w:rsid w:val="00FC6C76"/>
    <w:rsid w:val="00FD0B8C"/>
    <w:rsid w:val="00FE1444"/>
    <w:rsid w:val="00FE2732"/>
    <w:rsid w:val="00FE71F1"/>
    <w:rsid w:val="00FF4A18"/>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7226A"/>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77226A"/>
    <w:pPr>
      <w:jc w:val="center"/>
    </w:pPr>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77226A"/>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Caption">
    <w:name w:val="caption"/>
    <w:basedOn w:val="Normal"/>
    <w:next w:val="Normal"/>
    <w:link w:val="CaptionChar"/>
    <w:unhideWhenUsed/>
    <w:qFormat/>
    <w:rsid w:val="00295258"/>
    <w:pPr>
      <w:spacing w:after="200" w:line="240" w:lineRule="auto"/>
    </w:pPr>
    <w:rPr>
      <w:rFonts w:eastAsia="SimSun"/>
      <w:i/>
      <w:iCs/>
      <w:color w:val="44546A" w:themeColor="text2"/>
      <w:sz w:val="18"/>
      <w:szCs w:val="18"/>
    </w:rPr>
  </w:style>
  <w:style w:type="paragraph" w:styleId="BodyText">
    <w:name w:val="Body Text"/>
    <w:basedOn w:val="Normal"/>
    <w:link w:val="BodyTextChar"/>
    <w:qFormat/>
    <w:rsid w:val="006E162A"/>
    <w:pPr>
      <w:spacing w:before="180" w:after="180" w:line="240" w:lineRule="auto"/>
      <w:jc w:val="both"/>
    </w:pPr>
    <w:rPr>
      <w:rFonts w:ascii="Raleway" w:hAnsi="Raleway"/>
      <w:color w:val="2B2B2B"/>
      <w:sz w:val="24"/>
      <w:szCs w:val="24"/>
      <w:lang w:val="en-US"/>
    </w:rPr>
  </w:style>
  <w:style w:type="character" w:customStyle="1" w:styleId="BodyTextChar">
    <w:name w:val="Body Text Char"/>
    <w:basedOn w:val="DefaultParagraphFont"/>
    <w:link w:val="BodyText"/>
    <w:rsid w:val="006E162A"/>
    <w:rPr>
      <w:rFonts w:ascii="Raleway" w:hAnsi="Raleway"/>
      <w:color w:val="2B2B2B"/>
      <w:sz w:val="24"/>
      <w:szCs w:val="24"/>
      <w:lang w:val="en-US"/>
    </w:rPr>
  </w:style>
  <w:style w:type="character" w:customStyle="1" w:styleId="CaptionChar">
    <w:name w:val="Caption Char"/>
    <w:basedOn w:val="DefaultParagraphFont"/>
    <w:link w:val="Caption"/>
    <w:rsid w:val="006E162A"/>
    <w:rPr>
      <w:rFonts w:eastAsia="SimSun"/>
      <w:i/>
      <w:iCs/>
      <w:color w:val="44546A" w:themeColor="text2"/>
      <w:sz w:val="18"/>
      <w:szCs w:val="18"/>
    </w:rPr>
  </w:style>
  <w:style w:type="paragraph" w:customStyle="1" w:styleId="CaptionedFigure">
    <w:name w:val="Captioned Figure"/>
    <w:basedOn w:val="Normal"/>
    <w:rsid w:val="006E162A"/>
    <w:pPr>
      <w:keepNext/>
      <w:spacing w:after="200" w:line="240" w:lineRule="auto"/>
      <w:jc w:val="both"/>
    </w:pPr>
    <w:rPr>
      <w:rFonts w:ascii="Raleway" w:hAnsi="Raleway"/>
      <w:color w:val="2B2B2B"/>
      <w:sz w:val="24"/>
      <w:szCs w:val="24"/>
      <w:lang w:val="en-US"/>
    </w:rPr>
  </w:style>
  <w:style w:type="table" w:styleId="TableGridLight">
    <w:name w:val="Grid Table Light"/>
    <w:basedOn w:val="TableNormal"/>
    <w:uiPriority w:val="40"/>
    <w:rsid w:val="00097B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hyperlink" Target="http://www.quans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Mar06</b:Tag>
    <b:SourceType>Book</b:SourceType>
    <b:Guid>{5C9B97B4-0C1A-4468-A719-A91BC1C6631B}</b:Guid>
    <b:Author>
      <b:Author>
        <b:NameList>
          <b:Person>
            <b:Last>Spong</b:Last>
            <b:First>Mark</b:First>
            <b:Middle>W.</b:Middle>
          </b:Person>
        </b:NameList>
      </b:Author>
    </b:Author>
    <b:Title>Robot Modeling and Control</b:Title>
    <b:Year>2006</b:Year>
    <b:Publisher>Wiley</b:Publisher>
    <b:RefOrder>1</b:RefOrder>
  </b:Source>
  <b:Source>
    <b:Tag>Ste21</b:Tag>
    <b:SourceType>Book</b:SourceType>
    <b:Guid>{4F9164BE-DA03-43F4-8E7F-9552F766BB09}</b:Guid>
    <b:Author>
      <b:Author>
        <b:NameList>
          <b:Person>
            <b:Last>Waslander</b:Last>
            <b:First>Steven</b:First>
          </b:Person>
        </b:NameList>
      </b:Author>
    </b:Author>
    <b:Title>Vision for Self-Driving Cars</b:Title>
    <b:Year>2021</b:Year>
    <b:Publisher>Coursera</b:Publisher>
    <b:RefOrder>2</b:RefOrder>
  </b:Source>
  <b:Source>
    <b:Tag>Tim141</b:Tag>
    <b:SourceType>Book</b:SourceType>
    <b:Guid>{62DF1739-5768-4B67-B1D4-C44C48F66B47}</b:Guid>
    <b:Author>
      <b:Author>
        <b:NameList>
          <b:Person>
            <b:Last>Barfoot</b:Last>
            <b:First>Tim</b:First>
          </b:Person>
        </b:NameList>
      </b:Author>
    </b:Author>
    <b:Title>AER 1514 Introduction to Mobile Robotics</b:Title>
    <b:Year>2014</b:Year>
    <b:City>Toronto </b:City>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FAA4136C-925C-4CC3-B1D7-1140FFCC00DF}">
  <ds:schemaRefs>
    <ds:schemaRef ds:uri="http://schemas.openxmlformats.org/officeDocument/2006/bibliography"/>
  </ds:schemaRefs>
</ds:datastoreItem>
</file>

<file path=customXml/itemProps4.xml><?xml version="1.0" encoding="utf-8"?>
<ds:datastoreItem xmlns:ds="http://schemas.openxmlformats.org/officeDocument/2006/customXml" ds:itemID="{F8033967-5ED8-471F-AE1E-73046F47CC97}">
  <ds:schemaRefs>
    <ds:schemaRef ds:uri="http://schemas.microsoft.com/office/2006/documentManagement/types"/>
    <ds:schemaRef ds:uri="http://schemas.openxmlformats.org/package/2006/metadata/core-properties"/>
    <ds:schemaRef ds:uri="http://purl.org/dc/dcmitype/"/>
    <ds:schemaRef ds:uri="0f635720-375e-4931-a0ed-79114ae99912"/>
    <ds:schemaRef ds:uri="http://schemas.microsoft.com/office/2006/metadata/properties"/>
    <ds:schemaRef ds:uri="http://schemas.microsoft.com/office/infopath/2007/PartnerControls"/>
    <ds:schemaRef ds:uri="http://purl.org/dc/elements/1.1/"/>
    <ds:schemaRef ds:uri="d4a03c7d-cd7f-49b5-badb-dd8a14ab7fb0"/>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Pages>
  <Words>1235</Words>
  <Characters>7044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72</cp:revision>
  <cp:lastPrinted>2023-08-22T19:50:00Z</cp:lastPrinted>
  <dcterms:created xsi:type="dcterms:W3CDTF">2022-07-18T22:13:00Z</dcterms:created>
  <dcterms:modified xsi:type="dcterms:W3CDTF">2023-08-22T19:50:00Z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